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61"/>
        <w:ind w:right="-60" w:rightChars="0"/>
        <w:jc w:val="center"/>
      </w:pPr>
      <w:r>
        <w:rPr>
          <w:rFonts w:hint="eastAsia"/>
          <w:lang w:val="en-US" w:eastAsia="zh-CN"/>
        </w:rPr>
        <w:t>阳江高新</w:t>
      </w:r>
      <w:r>
        <w:t>区财政预决算领域基层政务公开标准目录</w:t>
      </w:r>
    </w:p>
    <w:p>
      <w:pPr>
        <w:pStyle w:val="2"/>
        <w:spacing w:before="4"/>
        <w:rPr>
          <w:sz w:val="20"/>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724" w:type="dxa"/>
            <w:vMerge w:val="restart"/>
          </w:tcPr>
          <w:p>
            <w:pPr>
              <w:pStyle w:val="7"/>
              <w:rPr>
                <w:sz w:val="24"/>
              </w:rPr>
            </w:pPr>
          </w:p>
          <w:p>
            <w:pPr>
              <w:pStyle w:val="7"/>
              <w:spacing w:before="189"/>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sz w:val="24"/>
              </w:rPr>
            </w:pPr>
          </w:p>
          <w:p>
            <w:pPr>
              <w:pStyle w:val="7"/>
              <w:spacing w:before="189"/>
              <w:ind w:left="2348" w:right="2328"/>
              <w:jc w:val="center"/>
              <w:rPr>
                <w:sz w:val="24"/>
              </w:rPr>
            </w:pPr>
            <w:r>
              <w:rPr>
                <w:sz w:val="24"/>
              </w:rPr>
              <w:t>公开内容（要素）及要求</w:t>
            </w:r>
          </w:p>
        </w:tc>
        <w:tc>
          <w:tcPr>
            <w:tcW w:w="2415" w:type="dxa"/>
            <w:vMerge w:val="restart"/>
          </w:tcPr>
          <w:p>
            <w:pPr>
              <w:pStyle w:val="7"/>
              <w:rPr>
                <w:sz w:val="24"/>
              </w:rPr>
            </w:pPr>
          </w:p>
          <w:p>
            <w:pPr>
              <w:pStyle w:val="7"/>
              <w:spacing w:before="189"/>
              <w:ind w:left="729"/>
              <w:rPr>
                <w:sz w:val="24"/>
              </w:rPr>
            </w:pPr>
            <w:r>
              <w:rPr>
                <w:sz w:val="24"/>
              </w:rPr>
              <w:t>公开依据</w:t>
            </w:r>
          </w:p>
        </w:tc>
        <w:tc>
          <w:tcPr>
            <w:tcW w:w="1844" w:type="dxa"/>
            <w:vMerge w:val="restart"/>
          </w:tcPr>
          <w:p>
            <w:pPr>
              <w:pStyle w:val="7"/>
              <w:rPr>
                <w:sz w:val="24"/>
              </w:rPr>
            </w:pPr>
          </w:p>
          <w:p>
            <w:pPr>
              <w:pStyle w:val="7"/>
              <w:spacing w:before="189"/>
              <w:ind w:left="444"/>
              <w:rPr>
                <w:sz w:val="24"/>
              </w:rPr>
            </w:pPr>
            <w:r>
              <w:rPr>
                <w:sz w:val="24"/>
              </w:rPr>
              <w:t>公开时限</w:t>
            </w:r>
          </w:p>
        </w:tc>
        <w:tc>
          <w:tcPr>
            <w:tcW w:w="1276" w:type="dxa"/>
            <w:vMerge w:val="restart"/>
          </w:tcPr>
          <w:p>
            <w:pPr>
              <w:pStyle w:val="7"/>
              <w:rPr>
                <w:sz w:val="24"/>
              </w:rPr>
            </w:pPr>
          </w:p>
          <w:p>
            <w:pPr>
              <w:pStyle w:val="7"/>
              <w:spacing w:before="189"/>
              <w:ind w:left="160"/>
              <w:rPr>
                <w:sz w:val="24"/>
              </w:rPr>
            </w:pPr>
            <w:r>
              <w:rPr>
                <w:sz w:val="24"/>
              </w:rPr>
              <w:t>公开主体</w:t>
            </w:r>
          </w:p>
        </w:tc>
        <w:tc>
          <w:tcPr>
            <w:tcW w:w="1134" w:type="dxa"/>
            <w:vMerge w:val="restart"/>
          </w:tcPr>
          <w:p>
            <w:pPr>
              <w:pStyle w:val="7"/>
              <w:spacing w:before="9"/>
              <w:rPr>
                <w:sz w:val="24"/>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0"/>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0"/>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06"/>
              <w:ind w:left="38"/>
              <w:rPr>
                <w:sz w:val="24"/>
              </w:rPr>
            </w:pPr>
            <w:r>
              <w:rPr>
                <w:sz w:val="24"/>
              </w:rPr>
              <w:t>全社会</w:t>
            </w:r>
          </w:p>
        </w:tc>
        <w:tc>
          <w:tcPr>
            <w:tcW w:w="793" w:type="dxa"/>
          </w:tcPr>
          <w:p>
            <w:pPr>
              <w:pStyle w:val="7"/>
              <w:spacing w:before="40"/>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06"/>
              <w:ind w:left="159"/>
              <w:rPr>
                <w:sz w:val="24"/>
              </w:rPr>
            </w:pPr>
            <w:r>
              <w:rPr>
                <w:sz w:val="24"/>
              </w:rPr>
              <w:t>主动</w:t>
            </w:r>
          </w:p>
        </w:tc>
        <w:tc>
          <w:tcPr>
            <w:tcW w:w="794" w:type="dxa"/>
          </w:tcPr>
          <w:p>
            <w:pPr>
              <w:pStyle w:val="7"/>
              <w:spacing w:before="206"/>
              <w:ind w:left="38"/>
              <w:rPr>
                <w:sz w:val="24"/>
              </w:rPr>
            </w:pPr>
            <w:r>
              <w:rPr>
                <w:sz w:val="24"/>
              </w:rPr>
              <w:t>依申请</w:t>
            </w:r>
          </w:p>
        </w:tc>
        <w:tc>
          <w:tcPr>
            <w:tcW w:w="793" w:type="dxa"/>
          </w:tcPr>
          <w:p>
            <w:pPr>
              <w:pStyle w:val="7"/>
              <w:spacing w:before="206"/>
              <w:ind w:left="159"/>
              <w:rPr>
                <w:sz w:val="24"/>
              </w:rPr>
            </w:pPr>
            <w:r>
              <w:rPr>
                <w:sz w:val="24"/>
              </w:rPr>
              <w:t>县级</w:t>
            </w:r>
          </w:p>
        </w:tc>
        <w:tc>
          <w:tcPr>
            <w:tcW w:w="794" w:type="dxa"/>
          </w:tcPr>
          <w:p>
            <w:pPr>
              <w:pStyle w:val="7"/>
              <w:spacing w:before="206"/>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4"/>
              <w:jc w:val="center"/>
              <w:rPr>
                <w:sz w:val="24"/>
              </w:rPr>
            </w:pPr>
            <w:r>
              <w:rPr>
                <w:sz w:val="24"/>
              </w:rPr>
              <w:t>1</w:t>
            </w:r>
          </w:p>
        </w:tc>
        <w:tc>
          <w:tcPr>
            <w:tcW w:w="568"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2"/>
              <w:rPr>
                <w:sz w:val="22"/>
              </w:rPr>
            </w:pPr>
          </w:p>
          <w:p>
            <w:pPr>
              <w:pStyle w:val="7"/>
              <w:spacing w:line="283" w:lineRule="auto"/>
              <w:ind w:left="48" w:right="15"/>
              <w:jc w:val="both"/>
              <w:rPr>
                <w:sz w:val="24"/>
              </w:rPr>
            </w:pPr>
            <w:r>
              <w:rPr>
                <w:sz w:val="24"/>
              </w:rPr>
              <w:t>财政预决算</w:t>
            </w:r>
          </w:p>
        </w:tc>
        <w:tc>
          <w:tcPr>
            <w:tcW w:w="710"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54" w:line="283" w:lineRule="auto"/>
              <w:ind w:left="117" w:right="95"/>
              <w:rPr>
                <w:sz w:val="24"/>
              </w:rPr>
            </w:pPr>
            <w:r>
              <w:rPr>
                <w:sz w:val="24"/>
              </w:rPr>
              <w:t>政府预算</w:t>
            </w:r>
          </w:p>
        </w:tc>
        <w:tc>
          <w:tcPr>
            <w:tcW w:w="7371" w:type="dxa"/>
          </w:tcPr>
          <w:p>
            <w:pPr>
              <w:pStyle w:val="7"/>
              <w:spacing w:before="1"/>
              <w:ind w:left="18" w:right="-15"/>
              <w:rPr>
                <w:spacing w:val="-6"/>
                <w:sz w:val="24"/>
              </w:rPr>
            </w:pPr>
            <w:r>
              <w:rPr>
                <w:spacing w:val="-6"/>
                <w:sz w:val="24"/>
              </w:rPr>
              <w:t>一般公共预算：（1）一般公共预算收入表。（2）一般公共预算支出表（3）本级一般公共预算支出表。（4）本级一般公共预算基本支出表（5）本级一般公共预算“三公”经费表（6）一般公共预算税收返还和转移支付表。</w:t>
            </w:r>
          </w:p>
        </w:tc>
        <w:tc>
          <w:tcPr>
            <w:tcW w:w="2415"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ind w:left="18" w:right="-15"/>
              <w:rPr>
                <w:spacing w:val="-6"/>
                <w:sz w:val="24"/>
              </w:rPr>
            </w:pPr>
          </w:p>
          <w:p>
            <w:pPr>
              <w:pStyle w:val="7"/>
              <w:spacing w:before="1"/>
              <w:ind w:left="18" w:right="-15"/>
              <w:rPr>
                <w:sz w:val="24"/>
              </w:rPr>
            </w:pPr>
            <w:r>
              <w:rPr>
                <w:spacing w:val="-6"/>
                <w:sz w:val="24"/>
              </w:rPr>
              <w:t>《中华人民共和国预算法》、《中华人民共和国政府信息公</w:t>
            </w:r>
            <w:r>
              <w:rPr>
                <w:rFonts w:hint="eastAsia"/>
                <w:spacing w:val="-6"/>
                <w:sz w:val="24"/>
                <w:lang w:val="en-US" w:eastAsia="zh-CN"/>
              </w:rPr>
              <w:t>开</w:t>
            </w:r>
            <w:r>
              <w:rPr>
                <w:spacing w:val="-6"/>
                <w:sz w:val="24"/>
              </w:rPr>
              <w:t>条例》、《财政部关于</w:t>
            </w:r>
            <w:r>
              <w:rPr>
                <w:rFonts w:hint="eastAsia"/>
                <w:spacing w:val="-6"/>
                <w:sz w:val="24"/>
                <w:lang w:val="en-US" w:eastAsia="zh-CN"/>
              </w:rPr>
              <w:t>印</w:t>
            </w:r>
            <w:r>
              <w:rPr>
                <w:spacing w:val="-6"/>
                <w:sz w:val="24"/>
              </w:rPr>
              <w:t>发&lt;地方预决算公开操作规程的通知&gt;》（财预〔2016〕143号）、《</w:t>
            </w:r>
            <w:r>
              <w:rPr>
                <w:rFonts w:hint="eastAsia"/>
                <w:spacing w:val="-6"/>
                <w:sz w:val="24"/>
                <w:lang w:val="en-US" w:eastAsia="zh-CN"/>
              </w:rPr>
              <w:t>财</w:t>
            </w:r>
            <w:r>
              <w:rPr>
                <w:spacing w:val="-6"/>
                <w:sz w:val="24"/>
              </w:rPr>
              <w:t>政部关于印发&lt;地方政府债务信息公开办法（试行）&gt;的通知》（财预〔2018〕209号）等法律法规和文件规定</w:t>
            </w:r>
          </w:p>
        </w:tc>
        <w:tc>
          <w:tcPr>
            <w:tcW w:w="184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rFonts w:hint="eastAsia"/>
                <w:spacing w:val="-6"/>
                <w:sz w:val="24"/>
                <w:lang w:eastAsia="zh-CN"/>
              </w:rPr>
              <w:t>上级</w:t>
            </w:r>
            <w:r>
              <w:rPr>
                <w:spacing w:val="-6"/>
                <w:sz w:val="24"/>
              </w:rPr>
              <w:t>人民代表大</w:t>
            </w:r>
          </w:p>
          <w:p>
            <w:pPr>
              <w:pStyle w:val="7"/>
              <w:spacing w:before="1"/>
              <w:ind w:left="18" w:right="-15"/>
              <w:rPr>
                <w:sz w:val="24"/>
              </w:rPr>
            </w:pPr>
            <w:r>
              <w:rPr>
                <w:spacing w:val="-6"/>
                <w:sz w:val="24"/>
              </w:rPr>
              <w:t>会或其常务委员会批准后20日内</w:t>
            </w:r>
          </w:p>
        </w:tc>
        <w:tc>
          <w:tcPr>
            <w:tcW w:w="1276"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74" w:line="283" w:lineRule="auto"/>
              <w:ind w:left="280" w:right="18" w:hanging="240"/>
              <w:rPr>
                <w:sz w:val="24"/>
              </w:rPr>
            </w:pPr>
            <w:r>
              <w:rPr>
                <w:rFonts w:hint="eastAsia"/>
                <w:sz w:val="24"/>
              </w:rPr>
              <w:t>区</w:t>
            </w:r>
            <w:r>
              <w:rPr>
                <w:sz w:val="24"/>
              </w:rPr>
              <w:t>财政局</w:t>
            </w:r>
          </w:p>
        </w:tc>
        <w:tc>
          <w:tcPr>
            <w:tcW w:w="113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8"/>
              <w:rPr>
                <w:sz w:val="26"/>
              </w:rPr>
            </w:pPr>
          </w:p>
          <w:p>
            <w:pPr>
              <w:pStyle w:val="7"/>
              <w:spacing w:before="1"/>
              <w:ind w:left="16"/>
              <w:rPr>
                <w:sz w:val="24"/>
              </w:rPr>
            </w:pPr>
            <w:r>
              <w:rPr>
                <w:sz w:val="24"/>
              </w:rPr>
              <w:t>政府网站</w:t>
            </w:r>
          </w:p>
        </w:tc>
        <w:tc>
          <w:tcPr>
            <w:tcW w:w="79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政府性基金预算：（1）政府性基金预算收入表。（2）政府性基金预算支出表（3）本级政府性基金预算支出表。（4）政府性基金转移支付预算表。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国有资本经营预算：（1）国有资本经营预算收入总表。（2）国有资本经营预算支出表。（3）本级国有资本经营预算支出总表。（4）国有资本经营预算转移支付支出表。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社会保险基金预算：（1）本级社会保险基金收入预算表。（2）本级社会保险基金支出预算表。（3）本级社会保险基金结余预算表。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预算：（1）地方政府一般债务余额情况表。（2）地方政府专项债务余额情况表。（3）地方政府债券发行及还本付息情况表。（4）地方政府债券分年度偿还计划情况表。（5）地方政府债务限额及余额情况表。（6）新增债券额度安排情况表。（7）新增债券项目用途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对财政转移支付安排、举借政府债务等重要事项进行解释、说明，并公开重大政策和重点项目等绩效目标。</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本级汇总的一般公共预算“三公”经费，包括预算总额，以及“因公出国（境）费”“公务用车购置及运行费”（区分“公务用车购置费”“公务用车运行费”两项）“公务接待费”分项数额，并对增减变化情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before="0"/>
        <w:ind w:left="6084" w:right="6132" w:firstLine="0"/>
        <w:jc w:val="center"/>
        <w:rPr>
          <w:sz w:val="24"/>
        </w:rPr>
      </w:pPr>
      <w:r>
        <w:rPr>
          <w:sz w:val="24"/>
        </w:rPr>
        <w:t>13</w:t>
      </w:r>
    </w:p>
    <w:p>
      <w:pPr>
        <w:spacing w:after="0"/>
        <w:jc w:val="center"/>
        <w:rPr>
          <w:sz w:val="24"/>
        </w:rPr>
        <w:sectPr>
          <w:type w:val="continuous"/>
          <w:pgSz w:w="23820" w:h="16840" w:orient="landscape"/>
          <w:pgMar w:top="1600" w:right="1360" w:bottom="280" w:left="1400" w:header="720" w:footer="720" w:gutter="0"/>
        </w:sectPr>
      </w:pPr>
    </w:p>
    <w:p>
      <w:pPr>
        <w:pStyle w:val="2"/>
        <w:rPr>
          <w:rFonts w:ascii="Times New Roman"/>
          <w:sz w:val="20"/>
        </w:rPr>
      </w:pPr>
    </w:p>
    <w:p>
      <w:pPr>
        <w:pStyle w:val="2"/>
        <w:rPr>
          <w:rFonts w:ascii="Times New Roman"/>
          <w:sz w:val="20"/>
        </w:rPr>
      </w:pPr>
    </w:p>
    <w:p>
      <w:pPr>
        <w:pStyle w:val="2"/>
        <w:spacing w:before="7"/>
        <w:rPr>
          <w:rFonts w:ascii="Times New Roman"/>
          <w:sz w:val="14"/>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spacing w:before="1"/>
              <w:rPr>
                <w:rFonts w:ascii="Times New Roman"/>
                <w:sz w:val="21"/>
              </w:rPr>
            </w:pPr>
          </w:p>
          <w:p>
            <w:pPr>
              <w:pStyle w:val="7"/>
              <w:spacing w:before="1"/>
              <w:ind w:left="125"/>
              <w:rPr>
                <w:sz w:val="24"/>
              </w:rPr>
            </w:pPr>
            <w:r>
              <w:rPr>
                <w:sz w:val="24"/>
              </w:rPr>
              <w:t>序号</w:t>
            </w:r>
          </w:p>
        </w:tc>
        <w:tc>
          <w:tcPr>
            <w:tcW w:w="1278" w:type="dxa"/>
            <w:gridSpan w:val="2"/>
          </w:tcPr>
          <w:p>
            <w:pPr>
              <w:pStyle w:val="7"/>
              <w:spacing w:before="145"/>
              <w:ind w:left="162"/>
              <w:rPr>
                <w:sz w:val="24"/>
              </w:rPr>
            </w:pPr>
            <w:r>
              <w:rPr>
                <w:sz w:val="24"/>
              </w:rPr>
              <w:t>公开事项</w:t>
            </w:r>
          </w:p>
        </w:tc>
        <w:tc>
          <w:tcPr>
            <w:tcW w:w="7371" w:type="dxa"/>
            <w:vMerge w:val="restart"/>
          </w:tcPr>
          <w:p>
            <w:pPr>
              <w:pStyle w:val="7"/>
              <w:rPr>
                <w:rFonts w:ascii="Times New Roman"/>
                <w:sz w:val="24"/>
              </w:rPr>
            </w:pPr>
          </w:p>
          <w:p>
            <w:pPr>
              <w:pStyle w:val="7"/>
              <w:spacing w:before="1"/>
              <w:rPr>
                <w:rFonts w:ascii="Times New Roman"/>
                <w:sz w:val="21"/>
              </w:rPr>
            </w:pPr>
          </w:p>
          <w:p>
            <w:pPr>
              <w:pStyle w:val="7"/>
              <w:spacing w:before="1"/>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spacing w:before="1"/>
              <w:rPr>
                <w:rFonts w:ascii="Times New Roman"/>
                <w:sz w:val="21"/>
              </w:rPr>
            </w:pPr>
          </w:p>
          <w:p>
            <w:pPr>
              <w:pStyle w:val="7"/>
              <w:spacing w:before="1"/>
              <w:ind w:left="729"/>
              <w:rPr>
                <w:sz w:val="24"/>
              </w:rPr>
            </w:pPr>
            <w:r>
              <w:rPr>
                <w:sz w:val="24"/>
              </w:rPr>
              <w:t>公开依据</w:t>
            </w:r>
          </w:p>
        </w:tc>
        <w:tc>
          <w:tcPr>
            <w:tcW w:w="1844" w:type="dxa"/>
            <w:vMerge w:val="restart"/>
          </w:tcPr>
          <w:p>
            <w:pPr>
              <w:pStyle w:val="7"/>
              <w:rPr>
                <w:rFonts w:ascii="Times New Roman"/>
                <w:sz w:val="24"/>
              </w:rPr>
            </w:pPr>
          </w:p>
          <w:p>
            <w:pPr>
              <w:pStyle w:val="7"/>
              <w:spacing w:before="1"/>
              <w:rPr>
                <w:rFonts w:ascii="Times New Roman"/>
                <w:sz w:val="21"/>
              </w:rPr>
            </w:pPr>
          </w:p>
          <w:p>
            <w:pPr>
              <w:pStyle w:val="7"/>
              <w:spacing w:before="1"/>
              <w:ind w:left="444"/>
              <w:rPr>
                <w:sz w:val="24"/>
              </w:rPr>
            </w:pPr>
            <w:r>
              <w:rPr>
                <w:sz w:val="24"/>
              </w:rPr>
              <w:t>公开时限</w:t>
            </w:r>
          </w:p>
        </w:tc>
        <w:tc>
          <w:tcPr>
            <w:tcW w:w="1276" w:type="dxa"/>
            <w:vMerge w:val="restart"/>
          </w:tcPr>
          <w:p>
            <w:pPr>
              <w:pStyle w:val="7"/>
              <w:rPr>
                <w:rFonts w:ascii="Times New Roman"/>
                <w:sz w:val="24"/>
              </w:rPr>
            </w:pPr>
          </w:p>
          <w:p>
            <w:pPr>
              <w:pStyle w:val="7"/>
              <w:spacing w:before="1"/>
              <w:rPr>
                <w:rFonts w:ascii="Times New Roman"/>
                <w:sz w:val="21"/>
              </w:rPr>
            </w:pPr>
          </w:p>
          <w:p>
            <w:pPr>
              <w:pStyle w:val="7"/>
              <w:spacing w:before="1"/>
              <w:ind w:left="160"/>
              <w:rPr>
                <w:sz w:val="24"/>
              </w:rPr>
            </w:pPr>
            <w:r>
              <w:rPr>
                <w:sz w:val="24"/>
              </w:rPr>
              <w:t>公开主体</w:t>
            </w:r>
          </w:p>
        </w:tc>
        <w:tc>
          <w:tcPr>
            <w:tcW w:w="1134" w:type="dxa"/>
            <w:vMerge w:val="restart"/>
          </w:tcPr>
          <w:p>
            <w:pPr>
              <w:pStyle w:val="7"/>
              <w:spacing w:before="5"/>
              <w:rPr>
                <w:rFonts w:ascii="Times New Roman"/>
                <w:sz w:val="29"/>
              </w:rPr>
            </w:pPr>
          </w:p>
          <w:p>
            <w:pPr>
              <w:pStyle w:val="7"/>
              <w:spacing w:before="1" w:line="283" w:lineRule="auto"/>
              <w:ind w:left="208" w:right="68" w:hanging="120"/>
              <w:rPr>
                <w:sz w:val="24"/>
              </w:rPr>
            </w:pPr>
            <w:r>
              <w:rPr>
                <w:sz w:val="24"/>
              </w:rPr>
              <w:t>公开渠道和载体</w:t>
            </w:r>
          </w:p>
        </w:tc>
        <w:tc>
          <w:tcPr>
            <w:tcW w:w="1587" w:type="dxa"/>
            <w:gridSpan w:val="2"/>
          </w:tcPr>
          <w:p>
            <w:pPr>
              <w:pStyle w:val="7"/>
              <w:spacing w:before="145"/>
              <w:ind w:left="314"/>
              <w:rPr>
                <w:sz w:val="24"/>
              </w:rPr>
            </w:pPr>
            <w:r>
              <w:rPr>
                <w:sz w:val="24"/>
              </w:rPr>
              <w:t>公开对象</w:t>
            </w:r>
          </w:p>
        </w:tc>
        <w:tc>
          <w:tcPr>
            <w:tcW w:w="1588" w:type="dxa"/>
            <w:gridSpan w:val="2"/>
          </w:tcPr>
          <w:p>
            <w:pPr>
              <w:pStyle w:val="7"/>
              <w:spacing w:before="145"/>
              <w:ind w:left="316"/>
              <w:rPr>
                <w:sz w:val="24"/>
              </w:rPr>
            </w:pPr>
            <w:r>
              <w:rPr>
                <w:sz w:val="24"/>
              </w:rPr>
              <w:t>公开方式</w:t>
            </w:r>
          </w:p>
        </w:tc>
        <w:tc>
          <w:tcPr>
            <w:tcW w:w="1587" w:type="dxa"/>
            <w:gridSpan w:val="2"/>
          </w:tcPr>
          <w:p>
            <w:pPr>
              <w:pStyle w:val="7"/>
              <w:spacing w:before="145"/>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4" w:hRule="atLeast"/>
        </w:trPr>
        <w:tc>
          <w:tcPr>
            <w:tcW w:w="724" w:type="dxa"/>
            <w:vMerge w:val="continue"/>
            <w:tcBorders>
              <w:top w:val="nil"/>
            </w:tcBorders>
          </w:tcPr>
          <w:p>
            <w:pPr>
              <w:rPr>
                <w:sz w:val="2"/>
                <w:szCs w:val="2"/>
              </w:rPr>
            </w:pPr>
          </w:p>
        </w:tc>
        <w:tc>
          <w:tcPr>
            <w:tcW w:w="568" w:type="dxa"/>
          </w:tcPr>
          <w:p>
            <w:pPr>
              <w:pStyle w:val="7"/>
              <w:spacing w:before="43"/>
              <w:ind w:left="48"/>
              <w:rPr>
                <w:sz w:val="24"/>
              </w:rPr>
            </w:pPr>
            <w:r>
              <w:rPr>
                <w:sz w:val="24"/>
              </w:rPr>
              <w:t>一级</w:t>
            </w:r>
          </w:p>
          <w:p>
            <w:pPr>
              <w:pStyle w:val="7"/>
              <w:spacing w:before="54"/>
              <w:ind w:left="48"/>
              <w:rPr>
                <w:sz w:val="24"/>
              </w:rPr>
            </w:pPr>
            <w:r>
              <w:rPr>
                <w:sz w:val="24"/>
              </w:rPr>
              <w:t>事项</w:t>
            </w:r>
          </w:p>
        </w:tc>
        <w:tc>
          <w:tcPr>
            <w:tcW w:w="710" w:type="dxa"/>
          </w:tcPr>
          <w:p>
            <w:pPr>
              <w:pStyle w:val="7"/>
              <w:spacing w:before="43"/>
              <w:ind w:left="117"/>
              <w:rPr>
                <w:sz w:val="24"/>
              </w:rPr>
            </w:pPr>
            <w:r>
              <w:rPr>
                <w:sz w:val="24"/>
              </w:rPr>
              <w:t>二级</w:t>
            </w:r>
          </w:p>
          <w:p>
            <w:pPr>
              <w:pStyle w:val="7"/>
              <w:spacing w:before="54"/>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3"/>
              <w:rPr>
                <w:rFonts w:ascii="Times New Roman"/>
                <w:sz w:val="19"/>
              </w:rPr>
            </w:pPr>
          </w:p>
          <w:p>
            <w:pPr>
              <w:pStyle w:val="7"/>
              <w:ind w:left="18"/>
              <w:jc w:val="center"/>
              <w:rPr>
                <w:sz w:val="24"/>
              </w:rPr>
            </w:pPr>
            <w:r>
              <w:rPr>
                <w:sz w:val="24"/>
              </w:rPr>
              <w:t>全社会</w:t>
            </w:r>
          </w:p>
        </w:tc>
        <w:tc>
          <w:tcPr>
            <w:tcW w:w="793" w:type="dxa"/>
          </w:tcPr>
          <w:p>
            <w:pPr>
              <w:pStyle w:val="7"/>
              <w:spacing w:before="43"/>
              <w:ind w:left="18"/>
              <w:jc w:val="center"/>
              <w:rPr>
                <w:sz w:val="24"/>
              </w:rPr>
            </w:pPr>
            <w:r>
              <w:rPr>
                <w:sz w:val="24"/>
              </w:rPr>
              <w:t>特定群</w:t>
            </w:r>
          </w:p>
          <w:p>
            <w:pPr>
              <w:pStyle w:val="7"/>
              <w:spacing w:before="54"/>
              <w:ind w:left="18"/>
              <w:jc w:val="center"/>
              <w:rPr>
                <w:sz w:val="24"/>
              </w:rPr>
            </w:pPr>
            <w:r>
              <w:rPr>
                <w:sz w:val="24"/>
              </w:rPr>
              <w:t>体</w:t>
            </w:r>
          </w:p>
        </w:tc>
        <w:tc>
          <w:tcPr>
            <w:tcW w:w="794" w:type="dxa"/>
          </w:tcPr>
          <w:p>
            <w:pPr>
              <w:pStyle w:val="7"/>
              <w:spacing w:before="3"/>
              <w:rPr>
                <w:rFonts w:ascii="Times New Roman"/>
                <w:sz w:val="19"/>
              </w:rPr>
            </w:pPr>
          </w:p>
          <w:p>
            <w:pPr>
              <w:pStyle w:val="7"/>
              <w:ind w:left="19"/>
              <w:jc w:val="center"/>
              <w:rPr>
                <w:sz w:val="24"/>
              </w:rPr>
            </w:pPr>
            <w:r>
              <w:rPr>
                <w:sz w:val="24"/>
              </w:rPr>
              <w:t>主动</w:t>
            </w:r>
          </w:p>
        </w:tc>
        <w:tc>
          <w:tcPr>
            <w:tcW w:w="794" w:type="dxa"/>
          </w:tcPr>
          <w:p>
            <w:pPr>
              <w:pStyle w:val="7"/>
              <w:spacing w:before="3"/>
              <w:rPr>
                <w:rFonts w:ascii="Times New Roman"/>
                <w:sz w:val="19"/>
              </w:rPr>
            </w:pPr>
          </w:p>
          <w:p>
            <w:pPr>
              <w:pStyle w:val="7"/>
              <w:ind w:left="38"/>
              <w:rPr>
                <w:sz w:val="24"/>
              </w:rPr>
            </w:pPr>
            <w:r>
              <w:rPr>
                <w:sz w:val="24"/>
              </w:rPr>
              <w:t>依申请</w:t>
            </w:r>
          </w:p>
        </w:tc>
        <w:tc>
          <w:tcPr>
            <w:tcW w:w="793" w:type="dxa"/>
          </w:tcPr>
          <w:p>
            <w:pPr>
              <w:pStyle w:val="7"/>
              <w:spacing w:before="3"/>
              <w:rPr>
                <w:rFonts w:ascii="Times New Roman"/>
                <w:sz w:val="19"/>
              </w:rPr>
            </w:pPr>
          </w:p>
          <w:p>
            <w:pPr>
              <w:pStyle w:val="7"/>
              <w:ind w:left="20"/>
              <w:jc w:val="center"/>
              <w:rPr>
                <w:sz w:val="24"/>
              </w:rPr>
            </w:pPr>
            <w:r>
              <w:rPr>
                <w:sz w:val="24"/>
              </w:rPr>
              <w:t>县级</w:t>
            </w:r>
          </w:p>
        </w:tc>
        <w:tc>
          <w:tcPr>
            <w:tcW w:w="794" w:type="dxa"/>
          </w:tcPr>
          <w:p>
            <w:pPr>
              <w:pStyle w:val="7"/>
              <w:spacing w:before="3"/>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9" w:hRule="atLeast"/>
        </w:trPr>
        <w:tc>
          <w:tcPr>
            <w:tcW w:w="724" w:type="dxa"/>
            <w:vMerge w:val="restart"/>
          </w:tcPr>
          <w:p>
            <w:pPr>
              <w:pStyle w:val="7"/>
              <w:rPr>
                <w:rFonts w:ascii="Times New Roman"/>
                <w:sz w:val="28"/>
              </w:rPr>
            </w:pPr>
          </w:p>
          <w:p>
            <w:pPr>
              <w:pStyle w:val="7"/>
              <w:spacing w:before="240"/>
              <w:ind w:left="12"/>
              <w:jc w:val="center"/>
              <w:rPr>
                <w:rFonts w:ascii="Times New Roman"/>
                <w:sz w:val="25"/>
              </w:rPr>
            </w:pPr>
            <w:r>
              <w:rPr>
                <w:rFonts w:ascii="Times New Roman"/>
                <w:sz w:val="25"/>
              </w:rPr>
              <w:t>1</w:t>
            </w:r>
          </w:p>
        </w:tc>
        <w:tc>
          <w:tcPr>
            <w:tcW w:w="568" w:type="dxa"/>
            <w:vMerge w:val="restart"/>
          </w:tcPr>
          <w:p>
            <w:pPr>
              <w:pStyle w:val="7"/>
              <w:spacing w:before="10"/>
              <w:rPr>
                <w:rFonts w:ascii="Times New Roman"/>
                <w:sz w:val="18"/>
              </w:rPr>
            </w:pPr>
          </w:p>
          <w:p>
            <w:pPr>
              <w:pStyle w:val="7"/>
              <w:spacing w:line="283" w:lineRule="auto"/>
              <w:ind w:left="29" w:right="41"/>
              <w:jc w:val="both"/>
              <w:rPr>
                <w:sz w:val="24"/>
              </w:rPr>
            </w:pPr>
            <w:r>
              <w:rPr>
                <w:sz w:val="24"/>
              </w:rPr>
              <w:t>财政预决算</w:t>
            </w:r>
          </w:p>
        </w:tc>
        <w:tc>
          <w:tcPr>
            <w:tcW w:w="710" w:type="dxa"/>
            <w:vMerge w:val="restart"/>
          </w:tcPr>
          <w:p>
            <w:pPr>
              <w:pStyle w:val="7"/>
              <w:spacing w:before="8"/>
              <w:rPr>
                <w:rFonts w:ascii="Times New Roman"/>
                <w:sz w:val="24"/>
              </w:rPr>
            </w:pPr>
          </w:p>
          <w:p>
            <w:pPr>
              <w:pStyle w:val="7"/>
              <w:spacing w:line="283" w:lineRule="auto"/>
              <w:ind w:left="62" w:right="150"/>
              <w:rPr>
                <w:sz w:val="24"/>
              </w:rPr>
            </w:pPr>
            <w:r>
              <w:rPr>
                <w:sz w:val="24"/>
              </w:rPr>
              <w:t>政府预算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地方政府债务限额、余额、使用安排及还本付息等信息，包括：（1）随同预算公开上一年度本地区、本级及所属地区地方政府债务限额及余额（或余额预计执行数），以及本地区和本级上一年度地方政府债券（含再融资债券）发行及还本付息额（或预计执行数）、本年度地方政府债券还本付息预算数等；（2）随同调整预算公开当年本地区及本级地方政府债务限额、本级新增地方政府债券资金使用安排等。</w:t>
            </w:r>
          </w:p>
        </w:tc>
        <w:tc>
          <w:tcPr>
            <w:tcW w:w="2415" w:type="dxa"/>
            <w:vMerge w:val="restart"/>
          </w:tcPr>
          <w:p>
            <w:pPr>
              <w:pStyle w:val="7"/>
              <w:spacing w:before="1"/>
              <w:rPr>
                <w:rFonts w:ascii="Times New Roman"/>
                <w:sz w:val="27"/>
              </w:rPr>
            </w:pPr>
          </w:p>
          <w:p>
            <w:pPr>
              <w:pStyle w:val="7"/>
              <w:spacing w:line="242" w:lineRule="auto"/>
              <w:ind w:left="3" w:right="26"/>
              <w:rPr>
                <w:sz w:val="24"/>
              </w:rPr>
            </w:pPr>
            <w:r>
              <w:rPr>
                <w:spacing w:val="-6"/>
                <w:sz w:val="24"/>
              </w:rPr>
              <w:t>《中华人民共和国预算法》、《中华人民共和国政府信息公开条例》、《财政部关于印发&lt;地方预决算公开操作规程的通知&gt;》（财预〔2016〕143号）、《财政部关于印发&lt;地方政府债务信息公开办法（试行）&gt;的通知》（财预〔2018〕209号）等法律法规和文件规定</w:t>
            </w:r>
          </w:p>
        </w:tc>
        <w:tc>
          <w:tcPr>
            <w:tcW w:w="1844" w:type="dxa"/>
            <w:vMerge w:val="restart"/>
            <w:vAlign w:val="center"/>
          </w:tcPr>
          <w:p>
            <w:pPr>
              <w:pStyle w:val="7"/>
              <w:spacing w:before="1"/>
              <w:ind w:left="18" w:right="-15"/>
              <w:rPr>
                <w:spacing w:val="-6"/>
                <w:sz w:val="24"/>
              </w:rPr>
            </w:pPr>
          </w:p>
          <w:p>
            <w:pPr>
              <w:pStyle w:val="7"/>
              <w:spacing w:before="1"/>
              <w:ind w:left="18" w:right="-15"/>
              <w:rPr>
                <w:sz w:val="24"/>
              </w:rPr>
            </w:pPr>
            <w:r>
              <w:rPr>
                <w:rFonts w:hint="eastAsia"/>
                <w:spacing w:val="-6"/>
                <w:sz w:val="24"/>
                <w:lang w:eastAsia="zh-CN"/>
              </w:rPr>
              <w:t>上级</w:t>
            </w:r>
            <w:r>
              <w:rPr>
                <w:spacing w:val="-6"/>
                <w:sz w:val="24"/>
              </w:rPr>
              <w:t>人民代表大会或其常务委员会批准后20日内</w:t>
            </w:r>
          </w:p>
        </w:tc>
        <w:tc>
          <w:tcPr>
            <w:tcW w:w="1276" w:type="dxa"/>
            <w:vMerge w:val="restart"/>
            <w:vAlign w:val="center"/>
          </w:tcPr>
          <w:p>
            <w:pPr>
              <w:pStyle w:val="7"/>
              <w:jc w:val="center"/>
              <w:rPr>
                <w:rFonts w:ascii="Times New Roman"/>
                <w:sz w:val="24"/>
              </w:rPr>
            </w:pPr>
          </w:p>
          <w:p>
            <w:pPr>
              <w:pStyle w:val="7"/>
              <w:spacing w:before="5"/>
              <w:jc w:val="center"/>
              <w:rPr>
                <w:rFonts w:ascii="Times New Roman"/>
                <w:sz w:val="25"/>
              </w:rPr>
            </w:pPr>
          </w:p>
          <w:p>
            <w:pPr>
              <w:pStyle w:val="7"/>
              <w:ind w:left="2"/>
              <w:jc w:val="center"/>
              <w:rPr>
                <w:sz w:val="24"/>
              </w:rPr>
            </w:pPr>
            <w:r>
              <w:rPr>
                <w:sz w:val="24"/>
              </w:rPr>
              <w:t>区财政局</w:t>
            </w:r>
          </w:p>
        </w:tc>
        <w:tc>
          <w:tcPr>
            <w:tcW w:w="113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1"/>
              <w:jc w:val="center"/>
              <w:rPr>
                <w:sz w:val="24"/>
              </w:rPr>
            </w:pPr>
            <w:r>
              <w:rPr>
                <w:sz w:val="24"/>
              </w:rPr>
              <w:t>政府网站</w:t>
            </w:r>
          </w:p>
        </w:tc>
        <w:tc>
          <w:tcPr>
            <w:tcW w:w="79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4"/>
              <w:jc w:val="center"/>
              <w:rPr>
                <w:sz w:val="24"/>
              </w:rPr>
            </w:pPr>
            <w:r>
              <w:rPr>
                <w:sz w:val="24"/>
              </w:rPr>
              <w:t>√</w:t>
            </w:r>
          </w:p>
        </w:tc>
        <w:tc>
          <w:tcPr>
            <w:tcW w:w="793" w:type="dxa"/>
            <w:vMerge w:val="restart"/>
            <w:vAlign w:val="center"/>
          </w:tcPr>
          <w:p>
            <w:pPr>
              <w:pStyle w:val="7"/>
              <w:jc w:val="center"/>
              <w:rPr>
                <w:rFonts w:ascii="Times New Roman"/>
                <w:sz w:val="24"/>
              </w:rPr>
            </w:pPr>
          </w:p>
        </w:tc>
        <w:tc>
          <w:tcPr>
            <w:tcW w:w="79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7"/>
              <w:jc w:val="center"/>
              <w:rPr>
                <w:sz w:val="24"/>
              </w:rPr>
            </w:pPr>
            <w:r>
              <w:rPr>
                <w:sz w:val="24"/>
              </w:rPr>
              <w:t>√</w:t>
            </w:r>
          </w:p>
        </w:tc>
        <w:tc>
          <w:tcPr>
            <w:tcW w:w="794" w:type="dxa"/>
            <w:vMerge w:val="restart"/>
            <w:vAlign w:val="center"/>
          </w:tcPr>
          <w:p>
            <w:pPr>
              <w:pStyle w:val="7"/>
              <w:jc w:val="center"/>
              <w:rPr>
                <w:rFonts w:ascii="Times New Roman"/>
                <w:sz w:val="24"/>
              </w:rPr>
            </w:pPr>
          </w:p>
        </w:tc>
        <w:tc>
          <w:tcPr>
            <w:tcW w:w="793" w:type="dxa"/>
            <w:vMerge w:val="restart"/>
            <w:vAlign w:val="center"/>
          </w:tcPr>
          <w:p>
            <w:pPr>
              <w:pStyle w:val="7"/>
              <w:jc w:val="center"/>
              <w:rPr>
                <w:rFonts w:ascii="Times New Roman"/>
                <w:sz w:val="24"/>
              </w:rPr>
            </w:pPr>
          </w:p>
          <w:p>
            <w:pPr>
              <w:pStyle w:val="7"/>
              <w:spacing w:before="1"/>
              <w:jc w:val="center"/>
              <w:rPr>
                <w:rFonts w:ascii="Times New Roman"/>
                <w:sz w:val="25"/>
              </w:rPr>
            </w:pPr>
          </w:p>
          <w:p>
            <w:pPr>
              <w:pStyle w:val="7"/>
              <w:spacing w:before="1"/>
              <w:ind w:left="8"/>
              <w:jc w:val="center"/>
              <w:rPr>
                <w:sz w:val="24"/>
              </w:rPr>
            </w:pPr>
            <w:r>
              <w:rPr>
                <w:sz w:val="24"/>
              </w:rPr>
              <w:t>√</w:t>
            </w:r>
          </w:p>
        </w:tc>
        <w:tc>
          <w:tcPr>
            <w:tcW w:w="794" w:type="dxa"/>
            <w:vMerge w:val="restart"/>
            <w:vAlign w:val="center"/>
          </w:tcPr>
          <w:p>
            <w:pPr>
              <w:pStyle w:val="7"/>
              <w:jc w:val="center"/>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7" w:hRule="atLeast"/>
        </w:trPr>
        <w:tc>
          <w:tcPr>
            <w:tcW w:w="724" w:type="dxa"/>
            <w:vMerge w:val="continue"/>
          </w:tcPr>
          <w:p>
            <w:pPr>
              <w:pStyle w:val="7"/>
              <w:rPr>
                <w:rFonts w:ascii="Times New Roman"/>
                <w:sz w:val="24"/>
              </w:rPr>
            </w:pPr>
          </w:p>
        </w:tc>
        <w:tc>
          <w:tcPr>
            <w:tcW w:w="568" w:type="dxa"/>
            <w:vMerge w:val="continue"/>
          </w:tcPr>
          <w:p>
            <w:pPr>
              <w:pStyle w:val="7"/>
              <w:rPr>
                <w:rFonts w:ascii="Times New Roman"/>
                <w:sz w:val="24"/>
              </w:rPr>
            </w:pPr>
          </w:p>
        </w:tc>
        <w:tc>
          <w:tcPr>
            <w:tcW w:w="710" w:type="dxa"/>
            <w:vMerge w:val="continue"/>
          </w:tcPr>
          <w:p>
            <w:pPr>
              <w:pStyle w:val="7"/>
              <w:rPr>
                <w:rFonts w:ascii="Times New Roman"/>
                <w:sz w:val="24"/>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Pr>
          <w:p>
            <w:pPr>
              <w:pStyle w:val="7"/>
              <w:rPr>
                <w:rFonts w:ascii="Times New Roman"/>
                <w:sz w:val="24"/>
              </w:rPr>
            </w:pPr>
          </w:p>
        </w:tc>
        <w:tc>
          <w:tcPr>
            <w:tcW w:w="1276" w:type="dxa"/>
            <w:vMerge w:val="continue"/>
          </w:tcPr>
          <w:p>
            <w:pPr>
              <w:pStyle w:val="7"/>
              <w:rPr>
                <w:rFonts w:ascii="Times New Roman"/>
                <w:sz w:val="24"/>
              </w:rPr>
            </w:pPr>
          </w:p>
        </w:tc>
        <w:tc>
          <w:tcPr>
            <w:tcW w:w="1134" w:type="dxa"/>
            <w:vMerge w:val="continue"/>
          </w:tcPr>
          <w:p>
            <w:pPr>
              <w:pStyle w:val="7"/>
              <w:rPr>
                <w:rFonts w:ascii="Times New Roman"/>
                <w:sz w:val="24"/>
              </w:rPr>
            </w:pPr>
          </w:p>
        </w:tc>
        <w:tc>
          <w:tcPr>
            <w:tcW w:w="794" w:type="dxa"/>
            <w:vMerge w:val="continue"/>
          </w:tcPr>
          <w:p>
            <w:pPr>
              <w:pStyle w:val="7"/>
              <w:rPr>
                <w:rFonts w:ascii="Times New Roman"/>
                <w:sz w:val="24"/>
              </w:rPr>
            </w:pPr>
          </w:p>
        </w:tc>
        <w:tc>
          <w:tcPr>
            <w:tcW w:w="793" w:type="dxa"/>
            <w:vMerge w:val="continue"/>
            <w:tcBorders>
              <w:top w:val="nil"/>
            </w:tcBorders>
          </w:tcPr>
          <w:p>
            <w:pPr>
              <w:rPr>
                <w:sz w:val="2"/>
                <w:szCs w:val="2"/>
              </w:rPr>
            </w:pPr>
          </w:p>
        </w:tc>
        <w:tc>
          <w:tcPr>
            <w:tcW w:w="794" w:type="dxa"/>
            <w:vMerge w:val="continue"/>
          </w:tcPr>
          <w:p>
            <w:pPr>
              <w:pStyle w:val="7"/>
              <w:rPr>
                <w:rFonts w:ascii="Times New Roman"/>
                <w:sz w:val="24"/>
              </w:rPr>
            </w:pPr>
          </w:p>
        </w:tc>
        <w:tc>
          <w:tcPr>
            <w:tcW w:w="794" w:type="dxa"/>
            <w:vMerge w:val="continue"/>
            <w:tcBorders>
              <w:top w:val="nil"/>
            </w:tcBorders>
          </w:tcPr>
          <w:p>
            <w:pPr>
              <w:rPr>
                <w:sz w:val="2"/>
                <w:szCs w:val="2"/>
              </w:rPr>
            </w:pPr>
          </w:p>
        </w:tc>
        <w:tc>
          <w:tcPr>
            <w:tcW w:w="793" w:type="dxa"/>
            <w:vMerge w:val="continue"/>
          </w:tcPr>
          <w:p>
            <w:pPr>
              <w:pStyle w:val="7"/>
              <w:rPr>
                <w:rFonts w:ascii="Times New Roman"/>
                <w:sz w:val="24"/>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600" w:right="1360" w:bottom="280" w:left="1400" w:header="720" w:footer="720" w:gutter="0"/>
        </w:sect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724" w:type="dxa"/>
            <w:vMerge w:val="restart"/>
          </w:tcPr>
          <w:p>
            <w:pPr>
              <w:pStyle w:val="7"/>
              <w:rPr>
                <w:rFonts w:ascii="Times New Roman"/>
                <w:sz w:val="24"/>
              </w:rPr>
            </w:pPr>
          </w:p>
          <w:p>
            <w:pPr>
              <w:pStyle w:val="7"/>
              <w:spacing w:before="3"/>
              <w:rPr>
                <w:rFonts w:ascii="Times New Roman"/>
                <w:sz w:val="19"/>
              </w:rPr>
            </w:pPr>
          </w:p>
          <w:p>
            <w:pPr>
              <w:pStyle w:val="7"/>
              <w:ind w:left="125"/>
              <w:rPr>
                <w:sz w:val="24"/>
              </w:rPr>
            </w:pPr>
            <w:r>
              <w:rPr>
                <w:sz w:val="24"/>
              </w:rPr>
              <w:t>序号</w:t>
            </w:r>
          </w:p>
        </w:tc>
        <w:tc>
          <w:tcPr>
            <w:tcW w:w="1278" w:type="dxa"/>
            <w:gridSpan w:val="2"/>
          </w:tcPr>
          <w:p>
            <w:pPr>
              <w:pStyle w:val="7"/>
              <w:spacing w:before="145"/>
              <w:ind w:left="162"/>
              <w:rPr>
                <w:sz w:val="24"/>
              </w:rPr>
            </w:pPr>
            <w:r>
              <w:rPr>
                <w:sz w:val="24"/>
              </w:rPr>
              <w:t>公开事项</w:t>
            </w:r>
          </w:p>
        </w:tc>
        <w:tc>
          <w:tcPr>
            <w:tcW w:w="7371" w:type="dxa"/>
            <w:vMerge w:val="restart"/>
          </w:tcPr>
          <w:p>
            <w:pPr>
              <w:pStyle w:val="7"/>
              <w:rPr>
                <w:rFonts w:ascii="Times New Roman"/>
                <w:sz w:val="24"/>
              </w:rPr>
            </w:pPr>
          </w:p>
          <w:p>
            <w:pPr>
              <w:pStyle w:val="7"/>
              <w:spacing w:before="3"/>
              <w:rPr>
                <w:rFonts w:ascii="Times New Roman"/>
                <w:sz w:val="19"/>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spacing w:before="3"/>
              <w:rPr>
                <w:rFonts w:ascii="Times New Roman"/>
                <w:sz w:val="19"/>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spacing w:before="3"/>
              <w:rPr>
                <w:rFonts w:ascii="Times New Roman"/>
                <w:sz w:val="19"/>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spacing w:before="3"/>
              <w:rPr>
                <w:rFonts w:ascii="Times New Roman"/>
                <w:sz w:val="19"/>
              </w:rPr>
            </w:pPr>
          </w:p>
          <w:p>
            <w:pPr>
              <w:pStyle w:val="7"/>
              <w:ind w:left="160"/>
              <w:rPr>
                <w:sz w:val="24"/>
              </w:rPr>
            </w:pPr>
            <w:r>
              <w:rPr>
                <w:sz w:val="24"/>
              </w:rPr>
              <w:t>公开主体</w:t>
            </w:r>
          </w:p>
        </w:tc>
        <w:tc>
          <w:tcPr>
            <w:tcW w:w="1134" w:type="dxa"/>
            <w:vMerge w:val="restart"/>
          </w:tcPr>
          <w:p>
            <w:pPr>
              <w:pStyle w:val="7"/>
              <w:spacing w:before="7"/>
              <w:rPr>
                <w:rFonts w:ascii="Times New Roman"/>
                <w:sz w:val="27"/>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5"/>
              <w:ind w:left="314"/>
              <w:rPr>
                <w:sz w:val="24"/>
              </w:rPr>
            </w:pPr>
            <w:r>
              <w:rPr>
                <w:sz w:val="24"/>
              </w:rPr>
              <w:t>公开对象</w:t>
            </w:r>
          </w:p>
        </w:tc>
        <w:tc>
          <w:tcPr>
            <w:tcW w:w="1588" w:type="dxa"/>
            <w:gridSpan w:val="2"/>
          </w:tcPr>
          <w:p>
            <w:pPr>
              <w:pStyle w:val="7"/>
              <w:spacing w:before="145"/>
              <w:ind w:left="316"/>
              <w:rPr>
                <w:sz w:val="24"/>
              </w:rPr>
            </w:pPr>
            <w:r>
              <w:rPr>
                <w:sz w:val="24"/>
              </w:rPr>
              <w:t>公开方式</w:t>
            </w:r>
          </w:p>
        </w:tc>
        <w:tc>
          <w:tcPr>
            <w:tcW w:w="1587" w:type="dxa"/>
            <w:gridSpan w:val="2"/>
          </w:tcPr>
          <w:p>
            <w:pPr>
              <w:pStyle w:val="7"/>
              <w:spacing w:before="145"/>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7"/>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7"/>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0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7"/>
              <w:ind w:left="18"/>
              <w:jc w:val="center"/>
              <w:rPr>
                <w:sz w:val="24"/>
              </w:rPr>
            </w:pPr>
            <w:r>
              <w:rPr>
                <w:sz w:val="24"/>
              </w:rPr>
              <w:t>体</w:t>
            </w:r>
          </w:p>
        </w:tc>
        <w:tc>
          <w:tcPr>
            <w:tcW w:w="794" w:type="dxa"/>
          </w:tcPr>
          <w:p>
            <w:pPr>
              <w:pStyle w:val="7"/>
              <w:spacing w:before="207"/>
              <w:ind w:left="159"/>
              <w:rPr>
                <w:sz w:val="24"/>
              </w:rPr>
            </w:pPr>
            <w:r>
              <w:rPr>
                <w:sz w:val="24"/>
              </w:rPr>
              <w:t>主动</w:t>
            </w:r>
          </w:p>
        </w:tc>
        <w:tc>
          <w:tcPr>
            <w:tcW w:w="794" w:type="dxa"/>
          </w:tcPr>
          <w:p>
            <w:pPr>
              <w:pStyle w:val="7"/>
              <w:spacing w:before="207"/>
              <w:ind w:left="38"/>
              <w:rPr>
                <w:sz w:val="24"/>
              </w:rPr>
            </w:pPr>
            <w:r>
              <w:rPr>
                <w:sz w:val="24"/>
              </w:rPr>
              <w:t>依申请</w:t>
            </w:r>
          </w:p>
        </w:tc>
        <w:tc>
          <w:tcPr>
            <w:tcW w:w="793" w:type="dxa"/>
          </w:tcPr>
          <w:p>
            <w:pPr>
              <w:pStyle w:val="7"/>
              <w:spacing w:before="207"/>
              <w:ind w:left="159"/>
              <w:rPr>
                <w:sz w:val="24"/>
              </w:rPr>
            </w:pPr>
            <w:r>
              <w:rPr>
                <w:sz w:val="24"/>
              </w:rPr>
              <w:t>县级</w:t>
            </w:r>
          </w:p>
        </w:tc>
        <w:tc>
          <w:tcPr>
            <w:tcW w:w="794" w:type="dxa"/>
          </w:tcPr>
          <w:p>
            <w:pPr>
              <w:pStyle w:val="7"/>
              <w:spacing w:before="20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05"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4"/>
              <w:jc w:val="center"/>
              <w:rPr>
                <w:sz w:val="24"/>
              </w:rPr>
            </w:pPr>
            <w:r>
              <w:rPr>
                <w:sz w:val="24"/>
              </w:rPr>
              <w:t>2</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85"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30"/>
              </w:rPr>
            </w:pPr>
          </w:p>
          <w:p>
            <w:pPr>
              <w:pStyle w:val="7"/>
              <w:spacing w:before="1" w:line="283" w:lineRule="auto"/>
              <w:ind w:left="117" w:right="95"/>
              <w:rPr>
                <w:sz w:val="24"/>
              </w:rPr>
            </w:pPr>
            <w:r>
              <w:rPr>
                <w:sz w:val="24"/>
              </w:rPr>
              <w:t>政府决算</w:t>
            </w:r>
          </w:p>
        </w:tc>
        <w:tc>
          <w:tcPr>
            <w:tcW w:w="7371" w:type="dxa"/>
          </w:tcPr>
          <w:p>
            <w:pPr>
              <w:pStyle w:val="7"/>
              <w:spacing w:before="1"/>
              <w:ind w:left="18" w:right="-15"/>
              <w:rPr>
                <w:spacing w:val="-6"/>
                <w:sz w:val="24"/>
              </w:rPr>
            </w:pPr>
            <w:r>
              <w:rPr>
                <w:spacing w:val="-6"/>
                <w:sz w:val="24"/>
              </w:rPr>
              <w:t>一般公共预算：（1）一般公共预算收入决算表。（2）一般公共预算支出决算表。（3）本级一般公共预算支出决算表。（4）本级一般公共预算基本支出决算表。（5）（5）一般公共预算税收返还和转移支付</w:t>
            </w:r>
          </w:p>
          <w:p>
            <w:pPr>
              <w:pStyle w:val="7"/>
              <w:spacing w:before="1"/>
              <w:ind w:left="18" w:right="-15"/>
              <w:rPr>
                <w:spacing w:val="-6"/>
                <w:sz w:val="24"/>
              </w:rPr>
            </w:pPr>
            <w:r>
              <w:rPr>
                <w:spacing w:val="-6"/>
                <w:sz w:val="24"/>
              </w:rPr>
              <w:t>决算表。6）政府一般债务限额和余额情况表。</w:t>
            </w:r>
          </w:p>
        </w:tc>
        <w:tc>
          <w:tcPr>
            <w:tcW w:w="2415" w:type="dxa"/>
            <w:vMerge w:val="restart"/>
          </w:tcPr>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8"/>
                <w:sz w:val="24"/>
              </w:rPr>
            </w:pPr>
            <w:r>
              <w:rPr>
                <w:spacing w:val="-6"/>
                <w:sz w:val="24"/>
              </w:rPr>
              <w:t>《中华人民共和国预算法》、《中华人民共和国政府信息公</w:t>
            </w:r>
            <w:r>
              <w:rPr>
                <w:rFonts w:hint="eastAsia"/>
                <w:spacing w:val="-6"/>
                <w:sz w:val="24"/>
                <w:lang w:val="en-US" w:eastAsia="zh-CN"/>
              </w:rPr>
              <w:t>开</w:t>
            </w:r>
            <w:r>
              <w:rPr>
                <w:spacing w:val="-6"/>
                <w:sz w:val="24"/>
              </w:rPr>
              <w:t>条例》、《财政部关于</w:t>
            </w:r>
            <w:r>
              <w:rPr>
                <w:rFonts w:hint="eastAsia"/>
                <w:spacing w:val="-6"/>
                <w:sz w:val="24"/>
                <w:lang w:val="en-US" w:eastAsia="zh-CN"/>
              </w:rPr>
              <w:t>印</w:t>
            </w:r>
            <w:r>
              <w:rPr>
                <w:spacing w:val="-6"/>
                <w:sz w:val="24"/>
              </w:rPr>
              <w:t>发&lt;地方预决算公开操作规程的通知&gt;》（财预〔2016〕143号）、《</w:t>
            </w:r>
            <w:r>
              <w:rPr>
                <w:rFonts w:hint="eastAsia"/>
                <w:spacing w:val="-6"/>
                <w:sz w:val="24"/>
                <w:lang w:val="en-US" w:eastAsia="zh-CN"/>
              </w:rPr>
              <w:t>财</w:t>
            </w:r>
            <w:r>
              <w:rPr>
                <w:spacing w:val="-6"/>
                <w:sz w:val="24"/>
              </w:rPr>
              <w:t>政部关于印发&lt;地方政府债务信息公开办法（试行）&gt;的通知》（财预〔2018〕209号）等法律法规和文件规定</w:t>
            </w:r>
          </w:p>
        </w:tc>
        <w:tc>
          <w:tcPr>
            <w:tcW w:w="184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ind w:left="18" w:right="-15"/>
              <w:rPr>
                <w:spacing w:val="-6"/>
                <w:sz w:val="24"/>
              </w:rPr>
            </w:pPr>
            <w:r>
              <w:rPr>
                <w:rFonts w:hint="eastAsia"/>
                <w:spacing w:val="-6"/>
                <w:sz w:val="24"/>
                <w:lang w:eastAsia="zh-CN"/>
              </w:rPr>
              <w:t>上级</w:t>
            </w:r>
            <w:r>
              <w:rPr>
                <w:spacing w:val="-6"/>
                <w:sz w:val="24"/>
              </w:rPr>
              <w:t>人民代表大</w:t>
            </w:r>
          </w:p>
          <w:p>
            <w:pPr>
              <w:pStyle w:val="7"/>
              <w:spacing w:before="1"/>
              <w:ind w:left="18" w:right="-15"/>
              <w:rPr>
                <w:spacing w:val="-6"/>
                <w:sz w:val="24"/>
              </w:rPr>
            </w:pPr>
            <w:r>
              <w:rPr>
                <w:spacing w:val="-6"/>
                <w:sz w:val="24"/>
              </w:rPr>
              <w:t>会或其常务委员会批准后20日内</w:t>
            </w:r>
          </w:p>
          <w:p>
            <w:pPr>
              <w:pStyle w:val="7"/>
              <w:spacing w:before="1"/>
              <w:ind w:right="-15"/>
              <w:rPr>
                <w:sz w:val="24"/>
              </w:rPr>
            </w:pP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33"/>
              </w:rPr>
            </w:pPr>
          </w:p>
          <w:p>
            <w:pPr>
              <w:pStyle w:val="7"/>
              <w:ind w:left="2"/>
              <w:rPr>
                <w:sz w:val="24"/>
              </w:rPr>
            </w:pPr>
            <w:r>
              <w:rPr>
                <w:sz w:val="24"/>
              </w:rPr>
              <w:t>区财政局</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1"/>
              <w:rPr>
                <w:rFonts w:ascii="Times New Roman"/>
                <w:sz w:val="22"/>
              </w:rPr>
            </w:pPr>
          </w:p>
          <w:p>
            <w:pPr>
              <w:pStyle w:val="7"/>
              <w:ind w:left="16"/>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3"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政府性基金预算：（1）政府性基金预算收入决算表。（2）政府性基金支出决算表。（3）本级政府性基金预算支出决算表。（4）政府性基金转移支付决算表。（5）政府专项债务情况表。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2"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国有资本经营预算：（1）国有资本经营预算收入决算表。（2）国有资本经营预算支出决算表。（3）本级国有资本经营预算支出决算表。（4）国有资本经营预算转移支付决算表。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社会保险基金预算：（1）社会保险基金预算收入决算表。（2）社会保险基金预算支出决算表。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一般公共预算“三公”经费：（1）本级一般公共预算“三公”经费决算表。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地方政府债务预算：（1）地方政府债务限额和余额情况决算表（</w:t>
            </w:r>
            <w:r>
              <w:rPr>
                <w:rFonts w:hint="eastAsia"/>
                <w:spacing w:val="-6"/>
                <w:sz w:val="24"/>
                <w:lang w:val="en-US" w:eastAsia="zh-CN"/>
              </w:rPr>
              <w:t>2</w:t>
            </w:r>
            <w:bookmarkStart w:id="0" w:name="_GoBack"/>
            <w:bookmarkEnd w:id="0"/>
            <w:r>
              <w:rPr>
                <w:spacing w:val="-6"/>
                <w:sz w:val="24"/>
              </w:rPr>
              <w:t>）地方政府债券使用情况表。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一般公共预算、政府性基金预算、国有资本经营预算和社会保险基金决算报表中涉及本级支出的，应当公开到功能分类项级科目。本级一般公共预算基本支出应当公开到经济性质分类款级科目，专项转移支付应当分地区、分项目公开。</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对财政转移支付安排、举借政府债务等重要事项进行解释、说明，并公开重大政策和重点项目等绩效目标。</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本级汇总的一般公共预算“三公”经费，包括预算总额，以及“因公出国（境）费”“公务用车购置及运行费”（区分“公务用车购置费”“公务用车运行费”两项）“公务接待费”分项数额，并对增减变化情</w:t>
            </w:r>
          </w:p>
          <w:p>
            <w:pPr>
              <w:pStyle w:val="7"/>
              <w:spacing w:before="1"/>
              <w:ind w:left="18" w:right="-15"/>
              <w:rPr>
                <w:spacing w:val="-6"/>
                <w:sz w:val="24"/>
              </w:rPr>
            </w:pPr>
            <w:r>
              <w:rPr>
                <w:spacing w:val="-6"/>
                <w:sz w:val="24"/>
              </w:rPr>
              <w:t>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9"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地方政府债务限额、余额、使用安排及还本付息等信息，包括：上年末本地区、本级及所属地区地方政府债务限额、余额决算数，地方政府债券发行、还本付息决算数，以及债券资金使用安排等。</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580" w:right="1360" w:bottom="280" w:left="1400" w:header="720" w:footer="720" w:gutter="0"/>
        </w:sectPr>
      </w:pPr>
    </w:p>
    <w:p>
      <w:pPr>
        <w:pStyle w:val="2"/>
        <w:spacing w:before="3"/>
        <w:rPr>
          <w:rFonts w:ascii="Times New Roman"/>
          <w:sz w:val="2"/>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rPr>
                <w:rFonts w:ascii="Times New Roman"/>
                <w:sz w:val="21"/>
              </w:rPr>
            </w:pPr>
          </w:p>
          <w:p>
            <w:pPr>
              <w:pStyle w:val="7"/>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rFonts w:ascii="Times New Roman"/>
                <w:sz w:val="24"/>
              </w:rPr>
            </w:pPr>
          </w:p>
          <w:p>
            <w:pPr>
              <w:pStyle w:val="7"/>
              <w:rPr>
                <w:rFonts w:ascii="Times New Roman"/>
                <w:sz w:val="21"/>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rPr>
                <w:rFonts w:ascii="Times New Roman"/>
                <w:sz w:val="21"/>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rPr>
                <w:rFonts w:ascii="Times New Roman"/>
                <w:sz w:val="21"/>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rPr>
                <w:rFonts w:ascii="Times New Roman"/>
                <w:sz w:val="21"/>
              </w:rPr>
            </w:pPr>
          </w:p>
          <w:p>
            <w:pPr>
              <w:pStyle w:val="7"/>
              <w:ind w:left="160"/>
              <w:rPr>
                <w:sz w:val="24"/>
              </w:rPr>
            </w:pPr>
            <w:r>
              <w:rPr>
                <w:sz w:val="24"/>
              </w:rPr>
              <w:t>公开主体</w:t>
            </w:r>
          </w:p>
        </w:tc>
        <w:tc>
          <w:tcPr>
            <w:tcW w:w="1134" w:type="dxa"/>
            <w:vMerge w:val="restart"/>
          </w:tcPr>
          <w:p>
            <w:pPr>
              <w:pStyle w:val="7"/>
              <w:spacing w:before="4"/>
              <w:rPr>
                <w:rFonts w:ascii="Times New Roman"/>
                <w:sz w:val="29"/>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
              <w:rPr>
                <w:rFonts w:ascii="Times New Roman"/>
                <w:sz w:val="19"/>
              </w:rPr>
            </w:pPr>
          </w:p>
          <w:p>
            <w:pPr>
              <w:pStyle w:val="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
              <w:rPr>
                <w:rFonts w:ascii="Times New Roman"/>
                <w:sz w:val="19"/>
              </w:rPr>
            </w:pPr>
          </w:p>
          <w:p>
            <w:pPr>
              <w:pStyle w:val="7"/>
              <w:ind w:left="159"/>
              <w:rPr>
                <w:sz w:val="24"/>
              </w:rPr>
            </w:pPr>
            <w:r>
              <w:rPr>
                <w:sz w:val="24"/>
              </w:rPr>
              <w:t>主动</w:t>
            </w:r>
          </w:p>
        </w:tc>
        <w:tc>
          <w:tcPr>
            <w:tcW w:w="794" w:type="dxa"/>
          </w:tcPr>
          <w:p>
            <w:pPr>
              <w:pStyle w:val="7"/>
              <w:spacing w:before="2"/>
              <w:rPr>
                <w:rFonts w:ascii="Times New Roman"/>
                <w:sz w:val="19"/>
              </w:rPr>
            </w:pPr>
          </w:p>
          <w:p>
            <w:pPr>
              <w:pStyle w:val="7"/>
              <w:ind w:left="38"/>
              <w:rPr>
                <w:sz w:val="24"/>
              </w:rPr>
            </w:pPr>
            <w:r>
              <w:rPr>
                <w:sz w:val="24"/>
              </w:rPr>
              <w:t>依申请</w:t>
            </w:r>
          </w:p>
        </w:tc>
        <w:tc>
          <w:tcPr>
            <w:tcW w:w="793" w:type="dxa"/>
          </w:tcPr>
          <w:p>
            <w:pPr>
              <w:pStyle w:val="7"/>
              <w:spacing w:before="2"/>
              <w:rPr>
                <w:rFonts w:ascii="Times New Roman"/>
                <w:sz w:val="19"/>
              </w:rPr>
            </w:pPr>
          </w:p>
          <w:p>
            <w:pPr>
              <w:pStyle w:val="7"/>
              <w:ind w:left="159"/>
              <w:rPr>
                <w:sz w:val="24"/>
              </w:rPr>
            </w:pPr>
            <w:r>
              <w:rPr>
                <w:sz w:val="24"/>
              </w:rPr>
              <w:t>县级</w:t>
            </w:r>
          </w:p>
        </w:tc>
        <w:tc>
          <w:tcPr>
            <w:tcW w:w="794" w:type="dxa"/>
          </w:tcPr>
          <w:p>
            <w:pPr>
              <w:pStyle w:val="7"/>
              <w:spacing w:before="2"/>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7"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4"/>
              <w:jc w:val="center"/>
              <w:rPr>
                <w:sz w:val="24"/>
              </w:rPr>
            </w:pPr>
            <w:r>
              <w:rPr>
                <w:sz w:val="24"/>
              </w:rPr>
              <w:t>3</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5"/>
              <w:rPr>
                <w:rFonts w:ascii="Times New Roman"/>
                <w:sz w:val="28"/>
              </w:rPr>
            </w:pPr>
          </w:p>
          <w:p>
            <w:pPr>
              <w:pStyle w:val="7"/>
              <w:spacing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0"/>
              </w:rPr>
            </w:pPr>
          </w:p>
          <w:p>
            <w:pPr>
              <w:pStyle w:val="7"/>
              <w:spacing w:line="283" w:lineRule="auto"/>
              <w:ind w:left="117" w:right="95"/>
              <w:rPr>
                <w:sz w:val="24"/>
              </w:rPr>
            </w:pPr>
            <w:r>
              <w:rPr>
                <w:sz w:val="24"/>
              </w:rPr>
              <w:t>部门预算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收支总体情况表：（1）收支总体情况表。（2）收入总体情况表。</w:t>
            </w:r>
          </w:p>
          <w:p>
            <w:pPr>
              <w:pStyle w:val="7"/>
              <w:spacing w:before="1"/>
              <w:ind w:left="18" w:right="-15"/>
              <w:rPr>
                <w:spacing w:val="-6"/>
                <w:sz w:val="24"/>
              </w:rPr>
            </w:pPr>
            <w:r>
              <w:rPr>
                <w:spacing w:val="-6"/>
                <w:sz w:val="24"/>
              </w:rPr>
              <w:t>（3）支出总体情况表。</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《中华人民共和国预算法》、《中华人民共和国政府信息公开条例》、《财政部关于印发&lt;地方预决算公开操作规程的通知&gt;》（财减预〔2016〕143号）等法律法规和文件规定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0"/>
              </w:rPr>
            </w:pPr>
          </w:p>
          <w:p>
            <w:pPr>
              <w:pStyle w:val="7"/>
              <w:spacing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4"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财政拨款收支情况表：（1）财政拨款收支总体情况表。（2）一般公共预算支出情况表。（3）一般公共预算基本支出情况表。（4）财政拨款安排的行政经费及“三公”经费预算表。（5）政府性基金预算支出情</w:t>
            </w:r>
          </w:p>
          <w:p>
            <w:pPr>
              <w:pStyle w:val="7"/>
              <w:spacing w:before="1"/>
              <w:ind w:left="18" w:right="-15"/>
              <w:rPr>
                <w:spacing w:val="-6"/>
                <w:sz w:val="24"/>
              </w:rPr>
            </w:pPr>
            <w:r>
              <w:rPr>
                <w:spacing w:val="-6"/>
                <w:sz w:val="24"/>
              </w:rPr>
              <w:t>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一般公共预算支出情况表公开到功能分类项级科目。一般公共预算基本支出表公开到经济分类款级科目。</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8"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三公”经费支出表按“因公出国（境）费”“公务用车购置及运行费”“公务接待费”公开，其中，“公务用车购置及运行费”应当细化到“公务用车购置费”“公务用车运行费”两个项目，并对增变化情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2"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1"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5"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4"/>
              <w:jc w:val="center"/>
              <w:rPr>
                <w:sz w:val="24"/>
              </w:rPr>
            </w:pPr>
            <w:r>
              <w:rPr>
                <w:sz w:val="24"/>
              </w:rPr>
              <w:t>4</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3"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8"/>
              </w:rPr>
            </w:pPr>
          </w:p>
          <w:p>
            <w:pPr>
              <w:pStyle w:val="7"/>
              <w:spacing w:before="1" w:line="283" w:lineRule="auto"/>
              <w:ind w:left="117" w:right="95"/>
              <w:rPr>
                <w:sz w:val="24"/>
              </w:rPr>
            </w:pPr>
            <w:r>
              <w:rPr>
                <w:sz w:val="24"/>
              </w:rPr>
              <w:t>部门决算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收支总体情况表：（1）收入支出决算总表。（2）收入决算表。（3）支出决算表。</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《中华人民共和国预算法》、《中华人民共和国政府信息公开条例》、《财政部关于印发&lt;地方预决算公开操作规程的通知&gt;》（财预〔2016〕143号）等法律法规和文件规定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8"/>
              </w:rPr>
            </w:pPr>
          </w:p>
          <w:p>
            <w:pPr>
              <w:pStyle w:val="7"/>
              <w:spacing w:before="1"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24"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财政拨款收支情况表：（1）财政拨款收入支出决算总表。（2）一般公共预算财政拨款支出决算表。（3））一般公共预算财政拨款基本支出决算表。（4）一般公共预算财政拨款“三公”经费支出决算表。</w:t>
            </w:r>
          </w:p>
          <w:p>
            <w:pPr>
              <w:pStyle w:val="7"/>
              <w:spacing w:before="1"/>
              <w:ind w:left="18" w:right="-15"/>
              <w:rPr>
                <w:spacing w:val="-6"/>
                <w:sz w:val="24"/>
              </w:rPr>
            </w:pPr>
            <w:r>
              <w:rPr>
                <w:spacing w:val="-6"/>
                <w:sz w:val="24"/>
              </w:rPr>
              <w:t>（5）政府性基金预算财政拨款收入支出决算表。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一般公共预算财政拨款支出决算表公开到功能分类项级科目。一般公共预算财政拨款基本支出决算表公开到经济分类款级科目。</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600" w:right="1360" w:bottom="280" w:left="1400" w:header="720" w:footer="720" w:gutter="0"/>
        </w:sectPr>
      </w:pPr>
    </w:p>
    <w:p>
      <w:pPr>
        <w:pStyle w:val="2"/>
        <w:spacing w:before="3"/>
        <w:rPr>
          <w:rFonts w:ascii="Times New Roman"/>
          <w:sz w:val="2"/>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rPr>
                <w:rFonts w:ascii="Times New Roman"/>
                <w:sz w:val="21"/>
              </w:rPr>
            </w:pPr>
          </w:p>
          <w:p>
            <w:pPr>
              <w:pStyle w:val="7"/>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rFonts w:ascii="Times New Roman"/>
                <w:sz w:val="24"/>
              </w:rPr>
            </w:pPr>
          </w:p>
          <w:p>
            <w:pPr>
              <w:pStyle w:val="7"/>
              <w:rPr>
                <w:rFonts w:ascii="Times New Roman"/>
                <w:sz w:val="21"/>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rPr>
                <w:rFonts w:ascii="Times New Roman"/>
                <w:sz w:val="21"/>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rPr>
                <w:rFonts w:ascii="Times New Roman"/>
                <w:sz w:val="21"/>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rPr>
                <w:rFonts w:ascii="Times New Roman"/>
                <w:sz w:val="21"/>
              </w:rPr>
            </w:pPr>
          </w:p>
          <w:p>
            <w:pPr>
              <w:pStyle w:val="7"/>
              <w:ind w:left="160"/>
              <w:rPr>
                <w:sz w:val="24"/>
              </w:rPr>
            </w:pPr>
            <w:r>
              <w:rPr>
                <w:sz w:val="24"/>
              </w:rPr>
              <w:t>公开主体</w:t>
            </w:r>
          </w:p>
        </w:tc>
        <w:tc>
          <w:tcPr>
            <w:tcW w:w="1134" w:type="dxa"/>
            <w:vMerge w:val="restart"/>
          </w:tcPr>
          <w:p>
            <w:pPr>
              <w:pStyle w:val="7"/>
              <w:spacing w:before="4"/>
              <w:rPr>
                <w:rFonts w:ascii="Times New Roman"/>
                <w:sz w:val="29"/>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
              <w:rPr>
                <w:rFonts w:ascii="Times New Roman"/>
                <w:sz w:val="19"/>
              </w:rPr>
            </w:pPr>
          </w:p>
          <w:p>
            <w:pPr>
              <w:pStyle w:val="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
              <w:rPr>
                <w:rFonts w:ascii="Times New Roman"/>
                <w:sz w:val="19"/>
              </w:rPr>
            </w:pPr>
          </w:p>
          <w:p>
            <w:pPr>
              <w:pStyle w:val="7"/>
              <w:ind w:left="159"/>
              <w:rPr>
                <w:sz w:val="24"/>
              </w:rPr>
            </w:pPr>
            <w:r>
              <w:rPr>
                <w:sz w:val="24"/>
              </w:rPr>
              <w:t>主动</w:t>
            </w:r>
          </w:p>
        </w:tc>
        <w:tc>
          <w:tcPr>
            <w:tcW w:w="794" w:type="dxa"/>
          </w:tcPr>
          <w:p>
            <w:pPr>
              <w:pStyle w:val="7"/>
              <w:spacing w:before="2"/>
              <w:rPr>
                <w:rFonts w:ascii="Times New Roman"/>
                <w:sz w:val="19"/>
              </w:rPr>
            </w:pPr>
          </w:p>
          <w:p>
            <w:pPr>
              <w:pStyle w:val="7"/>
              <w:ind w:left="38"/>
              <w:rPr>
                <w:sz w:val="24"/>
              </w:rPr>
            </w:pPr>
            <w:r>
              <w:rPr>
                <w:sz w:val="24"/>
              </w:rPr>
              <w:t>依申请</w:t>
            </w:r>
          </w:p>
        </w:tc>
        <w:tc>
          <w:tcPr>
            <w:tcW w:w="793" w:type="dxa"/>
          </w:tcPr>
          <w:p>
            <w:pPr>
              <w:pStyle w:val="7"/>
              <w:spacing w:before="2"/>
              <w:rPr>
                <w:rFonts w:ascii="Times New Roman"/>
                <w:sz w:val="19"/>
              </w:rPr>
            </w:pPr>
          </w:p>
          <w:p>
            <w:pPr>
              <w:pStyle w:val="7"/>
              <w:ind w:left="159"/>
              <w:rPr>
                <w:sz w:val="24"/>
              </w:rPr>
            </w:pPr>
            <w:r>
              <w:rPr>
                <w:sz w:val="24"/>
              </w:rPr>
              <w:t>县级</w:t>
            </w:r>
          </w:p>
        </w:tc>
        <w:tc>
          <w:tcPr>
            <w:tcW w:w="794" w:type="dxa"/>
          </w:tcPr>
          <w:p>
            <w:pPr>
              <w:pStyle w:val="7"/>
              <w:spacing w:before="2"/>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96"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4"/>
              <w:jc w:val="center"/>
              <w:rPr>
                <w:sz w:val="24"/>
              </w:rPr>
            </w:pPr>
            <w:r>
              <w:rPr>
                <w:sz w:val="24"/>
              </w:rPr>
              <w:t>4</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07"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8"/>
              <w:rPr>
                <w:rFonts w:ascii="Times New Roman"/>
                <w:sz w:val="33"/>
              </w:rPr>
            </w:pPr>
          </w:p>
          <w:p>
            <w:pPr>
              <w:pStyle w:val="7"/>
              <w:spacing w:line="283" w:lineRule="auto"/>
              <w:ind w:left="117" w:right="95"/>
              <w:rPr>
                <w:sz w:val="24"/>
              </w:rPr>
            </w:pPr>
            <w:r>
              <w:rPr>
                <w:sz w:val="24"/>
              </w:rPr>
              <w:t>部门决算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一般公共预算财政拨款“三公”经费支出决算表按“因公出国（境）费”“公务用车购置及运行费”“公务接待费”公开，其中，“公务用车购置及运行费应当细化到“公务用车购置费”“公务用车运行费”两个项目，并对增减变化情况（与预算对比）进行说明。</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w:t>
            </w:r>
          </w:p>
          <w:p>
            <w:pPr>
              <w:pStyle w:val="7"/>
              <w:spacing w:before="1"/>
              <w:ind w:left="18" w:right="-15"/>
              <w:rPr>
                <w:spacing w:val="-6"/>
                <w:sz w:val="24"/>
              </w:rPr>
            </w:pPr>
            <w:r>
              <w:rPr>
                <w:spacing w:val="-6"/>
                <w:sz w:val="24"/>
              </w:rPr>
              <w:t>《财政部关于印发&lt;地方预决算公开操作规程的通知&gt;》（财预〔2016</w:t>
            </w:r>
            <w:r>
              <w:rPr>
                <w:rFonts w:hint="eastAsia"/>
                <w:spacing w:val="-6"/>
                <w:sz w:val="24"/>
              </w:rPr>
              <w:t>〕</w:t>
            </w:r>
            <w:r>
              <w:rPr>
                <w:spacing w:val="-6"/>
                <w:sz w:val="24"/>
              </w:rPr>
              <w:t>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8"/>
              <w:rPr>
                <w:rFonts w:ascii="Times New Roman"/>
                <w:sz w:val="33"/>
              </w:rPr>
            </w:pPr>
          </w:p>
          <w:p>
            <w:pPr>
              <w:pStyle w:val="7"/>
              <w:spacing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6"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sectPr>
      <w:pgSz w:w="23820" w:h="16840" w:orient="landscape"/>
      <w:pgMar w:top="1600" w:right="1360" w:bottom="280" w:left="14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81F60"/>
    <w:rsid w:val="0C376C9D"/>
    <w:rsid w:val="2CE2162B"/>
    <w:rsid w:val="33C928D3"/>
    <w:rsid w:val="5B1B648F"/>
    <w:rsid w:val="73E814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44"/>
      <w:szCs w:val="4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2020-12-11T02:23:00Z</dcterms:created>
  <dc:creator>lenovo</dc:creator>
  <cp:lastModifiedBy>lenovo</cp:lastModifiedBy>
  <dcterms:modified xsi:type="dcterms:W3CDTF">2020-12-11T06:59:30Z</dcterms:modified>
  <dc:title>&lt;493A5C392E31345CB6CBD6DDC7F8B2C6D5FEBED6D5FECEF1B9ABBFAAB1EAD7BCC4BFC2BC5CB6CBD6DDC7F8B2C6D5FED4A4BEF6CBE3C1ECD3F2BBF9B2E3D5FECEF1B9ABBFAAB1EAD7BCC4BFC2BCD0DEB8C4B0E631302E30392E646F63&gt;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2020-10-10T00:00:00Z</vt:filetime>
  </property>
  <property fmtid="{D5CDD505-2E9C-101B-9397-08002B2CF9AE}" pid="3" name="Creator">
    <vt:lpwstr>PScript5.dll Version 5.2.2</vt:lpwstr>
  </property>
  <property fmtid="{D5CDD505-2E9C-101B-9397-08002B2CF9AE}" pid="4" name="LastSaved">
    <vt:filetime>2020-12-11T00:00:00Z</vt:filetime>
  </property>
  <property fmtid="{D5CDD505-2E9C-101B-9397-08002B2CF9AE}" pid="5" name="KSOProductBuildVer">
    <vt:lpwstr>2052-11.1.0.9740</vt:lpwstr>
  </property>
</Properties>
</file>