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600" w:firstLineChars="1000"/>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阳江高新区安全生产政务公开事项标准目录</w:t>
      </w:r>
    </w:p>
    <w:tbl>
      <w:tblPr>
        <w:tblStyle w:val="5"/>
        <w:tblW w:w="141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8"/>
        <w:gridCol w:w="718"/>
        <w:gridCol w:w="1328"/>
        <w:gridCol w:w="703"/>
        <w:gridCol w:w="6054"/>
        <w:gridCol w:w="904"/>
        <w:gridCol w:w="789"/>
        <w:gridCol w:w="1005"/>
        <w:gridCol w:w="1062"/>
        <w:gridCol w:w="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718" w:type="dxa"/>
            <w:vAlign w:val="center"/>
          </w:tcPr>
          <w:p>
            <w:pPr>
              <w:bidi w:val="0"/>
              <w:jc w:val="left"/>
              <w:rPr>
                <w:rFonts w:hint="eastAsia" w:asciiTheme="minorHAnsi" w:hAnsiTheme="minorHAnsi" w:eastAsiaTheme="minorEastAsia" w:cstheme="minorBidi"/>
                <w:kern w:val="2"/>
                <w:sz w:val="21"/>
                <w:szCs w:val="24"/>
                <w:lang w:val="en-US" w:eastAsia="zh-CN" w:bidi="ar-SA"/>
              </w:rPr>
            </w:pPr>
            <w:r>
              <w:rPr>
                <w:rFonts w:hint="eastAsia"/>
                <w:sz w:val="24"/>
                <w:szCs w:val="24"/>
                <w:vertAlign w:val="baseline"/>
                <w:lang w:val="en-US" w:eastAsia="zh-CN"/>
              </w:rPr>
              <w:t>序号</w:t>
            </w:r>
          </w:p>
        </w:tc>
        <w:tc>
          <w:tcPr>
            <w:tcW w:w="718" w:type="dxa"/>
            <w:vAlign w:val="center"/>
          </w:tcPr>
          <w:p>
            <w:pPr>
              <w:rPr>
                <w:rFonts w:hint="default"/>
                <w:sz w:val="24"/>
                <w:szCs w:val="24"/>
                <w:vertAlign w:val="baseline"/>
                <w:lang w:val="en-US" w:eastAsia="zh-CN"/>
              </w:rPr>
            </w:pPr>
            <w:r>
              <w:rPr>
                <w:rFonts w:hint="eastAsia"/>
                <w:sz w:val="24"/>
                <w:szCs w:val="24"/>
                <w:vertAlign w:val="baseline"/>
                <w:lang w:val="en-US" w:eastAsia="zh-CN"/>
              </w:rPr>
              <w:t>事项类别</w:t>
            </w:r>
          </w:p>
        </w:tc>
        <w:tc>
          <w:tcPr>
            <w:tcW w:w="1328" w:type="dxa"/>
            <w:vAlign w:val="center"/>
          </w:tcPr>
          <w:p>
            <w:pPr>
              <w:rPr>
                <w:rFonts w:hint="default"/>
                <w:sz w:val="24"/>
                <w:szCs w:val="24"/>
                <w:vertAlign w:val="baseline"/>
                <w:lang w:val="en-US" w:eastAsia="zh-CN"/>
              </w:rPr>
            </w:pPr>
            <w:r>
              <w:rPr>
                <w:rFonts w:hint="eastAsia"/>
                <w:sz w:val="24"/>
                <w:szCs w:val="24"/>
                <w:vertAlign w:val="baseline"/>
                <w:lang w:val="en-US" w:eastAsia="zh-CN"/>
              </w:rPr>
              <w:t>事项名称</w:t>
            </w:r>
          </w:p>
        </w:tc>
        <w:tc>
          <w:tcPr>
            <w:tcW w:w="703" w:type="dxa"/>
            <w:vAlign w:val="center"/>
          </w:tcPr>
          <w:p>
            <w:pPr>
              <w:rPr>
                <w:rFonts w:hint="default"/>
                <w:sz w:val="24"/>
                <w:szCs w:val="24"/>
                <w:vertAlign w:val="baseline"/>
                <w:lang w:val="en-US" w:eastAsia="zh-CN"/>
              </w:rPr>
            </w:pPr>
            <w:r>
              <w:rPr>
                <w:rFonts w:hint="eastAsia"/>
                <w:sz w:val="24"/>
                <w:szCs w:val="24"/>
                <w:vertAlign w:val="baseline"/>
                <w:lang w:val="en-US" w:eastAsia="zh-CN"/>
              </w:rPr>
              <w:t>事项性质</w:t>
            </w:r>
          </w:p>
        </w:tc>
        <w:tc>
          <w:tcPr>
            <w:tcW w:w="6054" w:type="dxa"/>
            <w:vAlign w:val="center"/>
          </w:tcPr>
          <w:p>
            <w:pPr>
              <w:rPr>
                <w:rFonts w:hint="default"/>
                <w:sz w:val="24"/>
                <w:szCs w:val="24"/>
                <w:vertAlign w:val="baseline"/>
                <w:lang w:val="en-US" w:eastAsia="zh-CN"/>
              </w:rPr>
            </w:pPr>
            <w:r>
              <w:rPr>
                <w:rFonts w:hint="eastAsia"/>
                <w:sz w:val="24"/>
                <w:szCs w:val="24"/>
                <w:vertAlign w:val="baseline"/>
                <w:lang w:val="en-US" w:eastAsia="zh-CN"/>
              </w:rPr>
              <w:t>设立依据</w:t>
            </w:r>
          </w:p>
        </w:tc>
        <w:tc>
          <w:tcPr>
            <w:tcW w:w="904" w:type="dxa"/>
            <w:vAlign w:val="center"/>
          </w:tcPr>
          <w:p>
            <w:pPr>
              <w:rPr>
                <w:rFonts w:hint="default"/>
                <w:sz w:val="24"/>
                <w:szCs w:val="24"/>
                <w:vertAlign w:val="baseline"/>
                <w:lang w:val="en-US" w:eastAsia="zh-CN"/>
              </w:rPr>
            </w:pPr>
            <w:r>
              <w:rPr>
                <w:rFonts w:hint="eastAsia"/>
                <w:sz w:val="24"/>
                <w:szCs w:val="24"/>
                <w:vertAlign w:val="baseline"/>
                <w:lang w:val="en-US" w:eastAsia="zh-CN"/>
              </w:rPr>
              <w:t>内容要求</w:t>
            </w:r>
          </w:p>
        </w:tc>
        <w:tc>
          <w:tcPr>
            <w:tcW w:w="789" w:type="dxa"/>
            <w:vAlign w:val="center"/>
          </w:tcPr>
          <w:p>
            <w:pPr>
              <w:rPr>
                <w:rFonts w:hint="default"/>
                <w:sz w:val="24"/>
                <w:szCs w:val="24"/>
                <w:vertAlign w:val="baseline"/>
                <w:lang w:val="en-US" w:eastAsia="zh-CN"/>
              </w:rPr>
            </w:pPr>
            <w:r>
              <w:rPr>
                <w:rFonts w:hint="eastAsia"/>
                <w:sz w:val="24"/>
                <w:szCs w:val="24"/>
                <w:vertAlign w:val="baseline"/>
                <w:lang w:val="en-US" w:eastAsia="zh-CN"/>
              </w:rPr>
              <w:t>公开主体</w:t>
            </w:r>
          </w:p>
        </w:tc>
        <w:tc>
          <w:tcPr>
            <w:tcW w:w="1005" w:type="dxa"/>
            <w:vAlign w:val="center"/>
          </w:tcPr>
          <w:p>
            <w:pPr>
              <w:rPr>
                <w:rFonts w:hint="default"/>
                <w:sz w:val="24"/>
                <w:szCs w:val="24"/>
                <w:vertAlign w:val="baseline"/>
                <w:lang w:val="en-US" w:eastAsia="zh-CN"/>
              </w:rPr>
            </w:pPr>
            <w:r>
              <w:rPr>
                <w:rFonts w:hint="eastAsia"/>
                <w:sz w:val="24"/>
                <w:szCs w:val="24"/>
                <w:vertAlign w:val="baseline"/>
                <w:lang w:val="en-US" w:eastAsia="zh-CN"/>
              </w:rPr>
              <w:t>公开途径</w:t>
            </w:r>
          </w:p>
        </w:tc>
        <w:tc>
          <w:tcPr>
            <w:tcW w:w="1062" w:type="dxa"/>
            <w:vAlign w:val="center"/>
          </w:tcPr>
          <w:p>
            <w:pPr>
              <w:rPr>
                <w:rFonts w:hint="default"/>
                <w:sz w:val="24"/>
                <w:szCs w:val="24"/>
                <w:vertAlign w:val="baseline"/>
                <w:lang w:val="en-US" w:eastAsia="zh-CN"/>
              </w:rPr>
            </w:pPr>
            <w:r>
              <w:rPr>
                <w:rFonts w:hint="eastAsia"/>
                <w:sz w:val="24"/>
                <w:szCs w:val="24"/>
                <w:vertAlign w:val="baseline"/>
                <w:lang w:val="en-US" w:eastAsia="zh-CN"/>
              </w:rPr>
              <w:t>公开时限</w:t>
            </w:r>
          </w:p>
        </w:tc>
        <w:tc>
          <w:tcPr>
            <w:tcW w:w="887" w:type="dxa"/>
            <w:vAlign w:val="center"/>
          </w:tcPr>
          <w:p>
            <w:pPr>
              <w:rPr>
                <w:rFonts w:hint="default"/>
                <w:sz w:val="24"/>
                <w:szCs w:val="24"/>
                <w:vertAlign w:val="baseline"/>
                <w:lang w:val="en-US" w:eastAsia="zh-CN"/>
              </w:rPr>
            </w:pPr>
            <w:r>
              <w:rPr>
                <w:rFonts w:hint="eastAsia"/>
                <w:sz w:val="24"/>
                <w:szCs w:val="24"/>
                <w:vertAlign w:val="baseline"/>
                <w:lang w:val="en-US" w:eastAsia="zh-CN"/>
              </w:rPr>
              <w:t>所属层级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718" w:type="dxa"/>
            <w:vAlign w:val="center"/>
          </w:tcPr>
          <w:p>
            <w:pPr>
              <w:rPr>
                <w:rFonts w:hint="default"/>
                <w:vertAlign w:val="baseline"/>
                <w:lang w:val="en-US" w:eastAsia="zh-CN"/>
              </w:rPr>
            </w:pPr>
            <w:r>
              <w:rPr>
                <w:rFonts w:hint="eastAsia"/>
                <w:vertAlign w:val="baseline"/>
                <w:lang w:val="en-US" w:eastAsia="zh-CN"/>
              </w:rPr>
              <w:t>1</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烟花爆竹经营（零售）许可证核发</w:t>
            </w:r>
          </w:p>
        </w:tc>
        <w:tc>
          <w:tcPr>
            <w:tcW w:w="703" w:type="dxa"/>
            <w:vAlign w:val="center"/>
          </w:tcPr>
          <w:p>
            <w:pPr>
              <w:rPr>
                <w:rFonts w:hint="default"/>
                <w:vertAlign w:val="baseline"/>
                <w:lang w:val="en-US" w:eastAsia="zh-CN"/>
              </w:rPr>
            </w:pPr>
            <w:r>
              <w:rPr>
                <w:rFonts w:hint="eastAsia"/>
                <w:vertAlign w:val="baseline"/>
                <w:lang w:val="en-US" w:eastAsia="zh-CN"/>
              </w:rPr>
              <w:t>行政许可</w:t>
            </w:r>
          </w:p>
        </w:tc>
        <w:tc>
          <w:tcPr>
            <w:tcW w:w="6054" w:type="dxa"/>
            <w:vAlign w:val="center"/>
          </w:tcPr>
          <w:p>
            <w:pPr>
              <w:rPr>
                <w:rFonts w:hint="default"/>
                <w:vertAlign w:val="baseline"/>
                <w:lang w:val="en-US" w:eastAsia="zh-CN"/>
              </w:rPr>
            </w:pPr>
            <w:r>
              <w:rPr>
                <w:rFonts w:hint="eastAsia"/>
                <w:vertAlign w:val="baseline"/>
                <w:lang w:val="en-US" w:eastAsia="zh-CN"/>
              </w:rPr>
              <w:t>《</w:t>
            </w:r>
            <w:r>
              <w:rPr>
                <w:rFonts w:hint="default"/>
                <w:vertAlign w:val="baseline"/>
                <w:lang w:val="en-US" w:eastAsia="zh-CN"/>
              </w:rPr>
              <w:t>烟花爆竹安全管理条例</w:t>
            </w:r>
            <w:r>
              <w:rPr>
                <w:rFonts w:hint="eastAsia"/>
                <w:vertAlign w:val="baseline"/>
                <w:lang w:val="en-US" w:eastAsia="zh-CN"/>
              </w:rPr>
              <w:t>》</w:t>
            </w:r>
            <w:r>
              <w:rPr>
                <w:rFonts w:hint="default"/>
                <w:vertAlign w:val="baseline"/>
                <w:lang w:val="en-US" w:eastAsia="zh-CN"/>
              </w:rPr>
              <w:t>（2016年修正本）2006年国务院令第255号）第十九条《烟花爆竹经营许可实施办法》</w:t>
            </w:r>
            <w:r>
              <w:rPr>
                <w:rFonts w:hint="eastAsia"/>
                <w:vertAlign w:val="baseline"/>
                <w:lang w:val="en-US" w:eastAsia="zh-CN"/>
              </w:rPr>
              <w:t>、</w:t>
            </w:r>
            <w:r>
              <w:rPr>
                <w:rFonts w:hint="default"/>
                <w:vertAlign w:val="baseline"/>
                <w:lang w:val="en-US" w:eastAsia="zh-CN"/>
              </w:rPr>
              <w:t>2013年国家安全生产监督管理总局令第65号</w:t>
            </w:r>
            <w:r>
              <w:rPr>
                <w:rFonts w:hint="eastAsia"/>
                <w:vertAlign w:val="baseline"/>
                <w:lang w:val="en-US" w:eastAsia="zh-CN"/>
              </w:rPr>
              <w:t>，</w:t>
            </w:r>
            <w:r>
              <w:rPr>
                <w:rFonts w:hint="default"/>
                <w:vertAlign w:val="baseline"/>
                <w:lang w:val="en-US" w:eastAsia="zh-CN"/>
              </w:rPr>
              <w:t>县级人民政府安全生产监督管理部门（以下简称县级安全监管局，与市级安全监管局统称发证机关）负责本行政区域内零售经营布点规划与零售许可证的颁发和管理工作。</w:t>
            </w:r>
          </w:p>
          <w:p>
            <w:pPr>
              <w:rPr>
                <w:rFonts w:hint="default"/>
                <w:vertAlign w:val="baseline"/>
                <w:lang w:val="en-US" w:eastAsia="zh-CN"/>
              </w:rPr>
            </w:pPr>
            <w:r>
              <w:rPr>
                <w:rFonts w:hint="default"/>
                <w:vertAlign w:val="baseline"/>
                <w:lang w:val="en-US" w:eastAsia="zh-CN"/>
              </w:rPr>
              <w:t>申请从事烟花爆竹零售的经营者，应当向所在地县级人民政府安全生产监督管理部门提出申请，并提供能够证明符合本条例第十八条规定条件的有关材料。受理申请的安全生产监督管理部门应当自受理申请之日起20日内对提交的有关材料和经营场所进行审查，对符合条件的，核发《烟花爆竹经营（零售）许可证》</w:t>
            </w:r>
          </w:p>
        </w:tc>
        <w:tc>
          <w:tcPr>
            <w:tcW w:w="904" w:type="dxa"/>
            <w:vAlign w:val="center"/>
          </w:tcPr>
          <w:p>
            <w:pPr>
              <w:rPr>
                <w:rFonts w:hint="default"/>
                <w:vertAlign w:val="baseline"/>
                <w:lang w:val="en-US" w:eastAsia="zh-CN"/>
              </w:rPr>
            </w:pPr>
            <w:r>
              <w:rPr>
                <w:rFonts w:hint="eastAsia" w:ascii="Helvetica" w:hAnsi="Helvetica" w:eastAsia="宋体" w:cs="Helvetica"/>
                <w:i w:val="0"/>
                <w:caps w:val="0"/>
                <w:color w:val="000000"/>
                <w:spacing w:val="0"/>
                <w:sz w:val="22"/>
                <w:szCs w:val="22"/>
                <w:shd w:val="clear" w:fill="FFFFFF"/>
                <w:lang w:val="en-US" w:eastAsia="zh-CN"/>
              </w:rPr>
              <w:t>办理指南、</w:t>
            </w:r>
            <w:r>
              <w:rPr>
                <w:rFonts w:ascii="Helvetica" w:hAnsi="Helvetica" w:eastAsia="Helvetica" w:cs="Helvetica"/>
                <w:i w:val="0"/>
                <w:caps w:val="0"/>
                <w:color w:val="000000"/>
                <w:spacing w:val="0"/>
                <w:sz w:val="22"/>
                <w:szCs w:val="22"/>
                <w:shd w:val="clear" w:fill="FFFFFF"/>
              </w:rPr>
              <w:t>办理进程</w:t>
            </w:r>
            <w:r>
              <w:rPr>
                <w:rFonts w:hint="eastAsia" w:ascii="Helvetica" w:hAnsi="Helvetica" w:eastAsia="宋体" w:cs="Helvetica"/>
                <w:i w:val="0"/>
                <w:caps w:val="0"/>
                <w:color w:val="000000"/>
                <w:spacing w:val="0"/>
                <w:sz w:val="22"/>
                <w:szCs w:val="22"/>
                <w:shd w:val="clear" w:fill="FFFFFF"/>
                <w:lang w:eastAsia="zh-CN"/>
              </w:rPr>
              <w:t>、</w:t>
            </w:r>
            <w:r>
              <w:rPr>
                <w:rFonts w:hint="eastAsia" w:ascii="Helvetica" w:hAnsi="Helvetica" w:eastAsia="宋体" w:cs="Helvetica"/>
                <w:i w:val="0"/>
                <w:caps w:val="0"/>
                <w:color w:val="000000"/>
                <w:spacing w:val="0"/>
                <w:sz w:val="22"/>
                <w:szCs w:val="22"/>
                <w:shd w:val="clear" w:fill="FFFFFF"/>
                <w:lang w:val="en-US" w:eastAsia="zh-CN"/>
              </w:rPr>
              <w:t>办理结果</w:t>
            </w:r>
          </w:p>
        </w:tc>
        <w:tc>
          <w:tcPr>
            <w:tcW w:w="789" w:type="dxa"/>
            <w:vAlign w:val="center"/>
          </w:tcPr>
          <w:p>
            <w:pP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网上公开</w:t>
            </w:r>
          </w:p>
        </w:tc>
        <w:tc>
          <w:tcPr>
            <w:tcW w:w="1062" w:type="dxa"/>
            <w:vAlign w:val="center"/>
          </w:tcPr>
          <w:p>
            <w:pPr>
              <w:rPr>
                <w:rFonts w:hint="default" w:asciiTheme="minorHAnsi" w:hAnsiTheme="minorHAnsi" w:eastAsiaTheme="minorEastAsia" w:cstheme="minorBidi"/>
                <w:kern w:val="2"/>
                <w:sz w:val="21"/>
                <w:szCs w:val="24"/>
                <w:vertAlign w:val="baseline"/>
                <w:lang w:val="en-US" w:eastAsia="zh-CN" w:bidi="ar-SA"/>
              </w:rPr>
            </w:pPr>
            <w:r>
              <w:rPr>
                <w:rFonts w:hint="eastAsia"/>
                <w:vertAlign w:val="baseline"/>
                <w:lang w:val="en-US" w:eastAsia="zh-CN"/>
              </w:rPr>
              <w:t>20个工作日内</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718" w:type="dxa"/>
            <w:vAlign w:val="center"/>
          </w:tcPr>
          <w:p>
            <w:pPr>
              <w:rPr>
                <w:rFonts w:hint="default"/>
                <w:vertAlign w:val="baseline"/>
                <w:lang w:val="en-US" w:eastAsia="zh-CN"/>
              </w:rPr>
            </w:pPr>
            <w:r>
              <w:rPr>
                <w:rFonts w:hint="eastAsia"/>
                <w:vertAlign w:val="baseline"/>
                <w:lang w:val="en-US" w:eastAsia="zh-CN"/>
              </w:rPr>
              <w:t>2</w:t>
            </w:r>
          </w:p>
        </w:tc>
        <w:tc>
          <w:tcPr>
            <w:tcW w:w="718" w:type="dxa"/>
            <w:vAlign w:val="center"/>
          </w:tcPr>
          <w:p>
            <w:pPr>
              <w:rPr>
                <w:rFonts w:hint="default"/>
                <w:vertAlign w:val="baseline"/>
                <w:lang w:val="en-US" w:eastAsia="zh-CN"/>
              </w:rPr>
            </w:pPr>
            <w:r>
              <w:rPr>
                <w:rFonts w:hint="default"/>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金属冶炼建设项目安全设施设计审查</w:t>
            </w:r>
          </w:p>
        </w:tc>
        <w:tc>
          <w:tcPr>
            <w:tcW w:w="703" w:type="dxa"/>
            <w:vAlign w:val="center"/>
          </w:tcPr>
          <w:p>
            <w:pPr>
              <w:rPr>
                <w:rFonts w:hint="default"/>
                <w:vertAlign w:val="baseline"/>
                <w:lang w:val="en-US" w:eastAsia="zh-CN"/>
              </w:rPr>
            </w:pPr>
            <w:r>
              <w:rPr>
                <w:rFonts w:hint="eastAsia"/>
                <w:vertAlign w:val="baseline"/>
                <w:lang w:val="en-US" w:eastAsia="zh-CN"/>
              </w:rPr>
              <w:t>行政许可</w:t>
            </w:r>
          </w:p>
        </w:tc>
        <w:tc>
          <w:tcPr>
            <w:tcW w:w="6054" w:type="dxa"/>
            <w:vAlign w:val="center"/>
          </w:tcPr>
          <w:p>
            <w:pPr>
              <w:rPr>
                <w:rFonts w:hint="default"/>
                <w:vertAlign w:val="baseline"/>
                <w:lang w:val="en-US" w:eastAsia="zh-CN"/>
              </w:rPr>
            </w:pPr>
            <w:r>
              <w:rPr>
                <w:rFonts w:hint="default"/>
                <w:vertAlign w:val="baseline"/>
                <w:lang w:val="en-US" w:eastAsia="zh-CN"/>
              </w:rPr>
              <w:t>《冶金企业和有色金属企业安全生产规定》</w:t>
            </w:r>
            <w:r>
              <w:rPr>
                <w:rFonts w:hint="eastAsia"/>
                <w:vertAlign w:val="baseline"/>
                <w:lang w:val="en-US" w:eastAsia="zh-CN"/>
              </w:rPr>
              <w:t>（</w:t>
            </w:r>
            <w:r>
              <w:rPr>
                <w:rFonts w:hint="default"/>
                <w:vertAlign w:val="baseline"/>
                <w:lang w:val="en-US" w:eastAsia="zh-CN"/>
              </w:rPr>
              <w:t>2018年国家安全监管总局令第91号</w:t>
            </w:r>
            <w:r>
              <w:rPr>
                <w:rFonts w:hint="eastAsia"/>
                <w:vertAlign w:val="baseline"/>
                <w:lang w:val="en-US" w:eastAsia="zh-CN"/>
              </w:rPr>
              <w:t>）</w:t>
            </w:r>
            <w:r>
              <w:rPr>
                <w:rFonts w:hint="default"/>
                <w:vertAlign w:val="baseline"/>
                <w:lang w:val="en-US" w:eastAsia="zh-CN"/>
              </w:rPr>
              <w:t xml:space="preserve">第十五条 </w:t>
            </w:r>
          </w:p>
          <w:p>
            <w:pPr>
              <w:rPr>
                <w:rFonts w:hint="default"/>
                <w:vertAlign w:val="baseline"/>
                <w:lang w:val="en-US" w:eastAsia="zh-CN"/>
              </w:rPr>
            </w:pPr>
            <w:r>
              <w:rPr>
                <w:rFonts w:hint="default"/>
                <w:vertAlign w:val="baseline"/>
                <w:lang w:val="en-US" w:eastAsia="zh-CN"/>
              </w:rPr>
              <w:t>省、自治区、直辖市人民政府负有冶金有色安全生产监管职责的部门对本行政区域内金属冶炼建设项目实施指导和监督管理，确定并公布本行政区域内有关部门对金属冶炼建设项目安全设施设计审查的管辖权限。</w:t>
            </w:r>
          </w:p>
        </w:tc>
        <w:tc>
          <w:tcPr>
            <w:tcW w:w="904" w:type="dxa"/>
            <w:vAlign w:val="center"/>
          </w:tcPr>
          <w:p>
            <w:pPr>
              <w:rPr>
                <w:rFonts w:hint="default" w:eastAsia="宋体"/>
                <w:vertAlign w:val="baseline"/>
                <w:lang w:val="en-US" w:eastAsia="zh-CN"/>
              </w:rPr>
            </w:pPr>
            <w:r>
              <w:rPr>
                <w:rFonts w:hint="eastAsia" w:ascii="Helvetica" w:hAnsi="Helvetica" w:eastAsia="宋体" w:cs="Helvetica"/>
                <w:i w:val="0"/>
                <w:caps w:val="0"/>
                <w:color w:val="000000"/>
                <w:spacing w:val="0"/>
                <w:sz w:val="22"/>
                <w:szCs w:val="22"/>
                <w:shd w:val="clear" w:fill="FFFFFF"/>
                <w:lang w:val="en-US" w:eastAsia="zh-CN"/>
              </w:rPr>
              <w:t>办理指南、</w:t>
            </w:r>
            <w:r>
              <w:rPr>
                <w:rFonts w:ascii="Helvetica" w:hAnsi="Helvetica" w:eastAsia="Helvetica" w:cs="Helvetica"/>
                <w:i w:val="0"/>
                <w:caps w:val="0"/>
                <w:color w:val="000000"/>
                <w:spacing w:val="0"/>
                <w:sz w:val="22"/>
                <w:szCs w:val="22"/>
                <w:shd w:val="clear" w:fill="FFFFFF"/>
              </w:rPr>
              <w:t>办理进程</w:t>
            </w:r>
            <w:r>
              <w:rPr>
                <w:rFonts w:hint="eastAsia" w:ascii="Helvetica" w:hAnsi="Helvetica" w:eastAsia="宋体" w:cs="Helvetica"/>
                <w:i w:val="0"/>
                <w:caps w:val="0"/>
                <w:color w:val="000000"/>
                <w:spacing w:val="0"/>
                <w:sz w:val="22"/>
                <w:szCs w:val="22"/>
                <w:shd w:val="clear" w:fill="FFFFFF"/>
                <w:lang w:eastAsia="zh-CN"/>
              </w:rPr>
              <w:t>、</w:t>
            </w:r>
            <w:r>
              <w:rPr>
                <w:rFonts w:hint="eastAsia" w:ascii="Helvetica" w:hAnsi="Helvetica" w:eastAsia="宋体" w:cs="Helvetica"/>
                <w:i w:val="0"/>
                <w:caps w:val="0"/>
                <w:color w:val="000000"/>
                <w:spacing w:val="0"/>
                <w:sz w:val="22"/>
                <w:szCs w:val="22"/>
                <w:shd w:val="clear" w:fill="FFFFFF"/>
                <w:lang w:val="en-US" w:eastAsia="zh-CN"/>
              </w:rPr>
              <w:t>办理结果</w:t>
            </w:r>
          </w:p>
        </w:tc>
        <w:tc>
          <w:tcPr>
            <w:tcW w:w="789" w:type="dxa"/>
            <w:vAlign w:val="center"/>
          </w:tcPr>
          <w:p>
            <w:pPr>
              <w:rPr>
                <w:rFonts w:hint="default"/>
                <w:vertAlign w:val="baseline"/>
                <w:lang w:val="en-US" w:eastAsia="zh-CN"/>
              </w:rPr>
            </w:pPr>
            <w:bookmarkStart w:id="0" w:name="_GoBack"/>
            <w:bookmarkEnd w:id="0"/>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网上公开</w:t>
            </w:r>
          </w:p>
        </w:tc>
        <w:tc>
          <w:tcPr>
            <w:tcW w:w="1062" w:type="dxa"/>
            <w:vAlign w:val="center"/>
          </w:tcPr>
          <w:p>
            <w:pPr>
              <w:rPr>
                <w:rFonts w:hint="default"/>
                <w:vertAlign w:val="baseline"/>
                <w:lang w:val="en-US" w:eastAsia="zh-CN"/>
              </w:rPr>
            </w:pPr>
            <w:r>
              <w:rPr>
                <w:rFonts w:hint="eastAsia"/>
                <w:vertAlign w:val="baseline"/>
                <w:lang w:val="en-US" w:eastAsia="zh-CN"/>
              </w:rPr>
              <w:t>20个工作日内</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18" w:type="dxa"/>
            <w:vAlign w:val="center"/>
          </w:tcPr>
          <w:p>
            <w:pPr>
              <w:rPr>
                <w:rFonts w:hint="default"/>
                <w:vertAlign w:val="baseline"/>
                <w:lang w:val="en-US" w:eastAsia="zh-CN"/>
              </w:rPr>
            </w:pPr>
            <w:r>
              <w:rPr>
                <w:rFonts w:hint="eastAsia"/>
                <w:vertAlign w:val="baseline"/>
                <w:lang w:val="en-US" w:eastAsia="zh-CN"/>
              </w:rPr>
              <w:t>3</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eastAsia"/>
                <w:vertAlign w:val="baseline"/>
                <w:lang w:val="en-US" w:eastAsia="zh-CN"/>
              </w:rPr>
              <w:t>注销</w:t>
            </w:r>
            <w:r>
              <w:rPr>
                <w:rFonts w:hint="default"/>
                <w:vertAlign w:val="baseline"/>
                <w:lang w:val="en-US" w:eastAsia="zh-CN"/>
              </w:rPr>
              <w:t>第三类非药品类易制毒化学品经营备案</w:t>
            </w:r>
          </w:p>
        </w:tc>
        <w:tc>
          <w:tcPr>
            <w:tcW w:w="703" w:type="dxa"/>
            <w:vAlign w:val="center"/>
          </w:tcPr>
          <w:p>
            <w:pPr>
              <w:rPr>
                <w:rFonts w:hint="default"/>
                <w:vertAlign w:val="baseline"/>
                <w:lang w:val="en-US" w:eastAsia="zh-CN"/>
              </w:rPr>
            </w:pPr>
            <w:r>
              <w:rPr>
                <w:rFonts w:hint="eastAsia"/>
                <w:vertAlign w:val="baseline"/>
                <w:lang w:val="en-US" w:eastAsia="zh-CN"/>
              </w:rPr>
              <w:t>公共服务</w:t>
            </w:r>
          </w:p>
        </w:tc>
        <w:tc>
          <w:tcPr>
            <w:tcW w:w="6054" w:type="dxa"/>
            <w:vAlign w:val="center"/>
          </w:tcPr>
          <w:p>
            <w:pPr>
              <w:rPr>
                <w:rFonts w:hint="default"/>
                <w:vertAlign w:val="baseline"/>
                <w:lang w:val="en-US" w:eastAsia="zh-CN"/>
              </w:rPr>
            </w:pPr>
            <w:r>
              <w:rPr>
                <w:rFonts w:hint="eastAsia"/>
                <w:vertAlign w:val="baseline"/>
                <w:lang w:val="en-US" w:eastAsia="zh-CN"/>
              </w:rPr>
              <w:t>《</w:t>
            </w:r>
            <w:r>
              <w:rPr>
                <w:rFonts w:hint="default"/>
                <w:vertAlign w:val="baseline"/>
                <w:lang w:val="en-US" w:eastAsia="zh-CN"/>
              </w:rPr>
              <w:t>易制毒化学品管理条例</w:t>
            </w:r>
            <w:r>
              <w:rPr>
                <w:rFonts w:hint="eastAsia"/>
                <w:vertAlign w:val="baseline"/>
                <w:lang w:val="en-US" w:eastAsia="zh-CN"/>
              </w:rPr>
              <w:t>》(2018年修正版）第十三条，经营第三类易制毒化学品的，应当自经营之日起30日内，将经营的品种、数量、主要流向等情况，向所在地的县级人民政府安全生产监督管理部门备案。行政主管部门应当于收到备案材料的当日发给备案证明。</w:t>
            </w:r>
          </w:p>
        </w:tc>
        <w:tc>
          <w:tcPr>
            <w:tcW w:w="904" w:type="dxa"/>
            <w:vAlign w:val="center"/>
          </w:tcPr>
          <w:p>
            <w:pPr>
              <w:rPr>
                <w:rFonts w:hint="default"/>
                <w:vertAlign w:val="baseline"/>
                <w:lang w:val="en-US" w:eastAsia="zh-CN"/>
              </w:rPr>
            </w:pPr>
            <w:r>
              <w:rPr>
                <w:rFonts w:hint="default"/>
                <w:vertAlign w:val="baseline"/>
                <w:lang w:val="en-US" w:eastAsia="zh-CN"/>
              </w:rPr>
              <w:t>备案</w:t>
            </w:r>
            <w:r>
              <w:rPr>
                <w:rFonts w:hint="eastAsia"/>
                <w:vertAlign w:val="baseline"/>
                <w:lang w:val="en-US" w:eastAsia="zh-CN"/>
              </w:rPr>
              <w:t>申请、</w:t>
            </w:r>
            <w:r>
              <w:rPr>
                <w:rFonts w:ascii="Helvetica" w:hAnsi="Helvetica" w:eastAsia="Helvetica" w:cs="Helvetica"/>
                <w:i w:val="0"/>
                <w:caps w:val="0"/>
                <w:color w:val="000000"/>
                <w:spacing w:val="0"/>
                <w:sz w:val="22"/>
                <w:szCs w:val="22"/>
                <w:shd w:val="clear" w:fill="FFFFFF"/>
              </w:rPr>
              <w:t>进程</w:t>
            </w:r>
            <w:r>
              <w:rPr>
                <w:rFonts w:hint="eastAsia" w:ascii="Helvetica" w:hAnsi="Helvetica" w:eastAsia="宋体" w:cs="Helvetica"/>
                <w:i w:val="0"/>
                <w:caps w:val="0"/>
                <w:color w:val="000000"/>
                <w:spacing w:val="0"/>
                <w:sz w:val="22"/>
                <w:szCs w:val="22"/>
                <w:shd w:val="clear" w:fill="FFFFFF"/>
                <w:lang w:eastAsia="zh-CN"/>
              </w:rPr>
              <w:t>、</w:t>
            </w:r>
            <w:r>
              <w:rPr>
                <w:rFonts w:hint="eastAsia"/>
                <w:vertAlign w:val="baseline"/>
                <w:lang w:val="en-US" w:eastAsia="zh-CN"/>
              </w:rPr>
              <w:t>办理结果</w:t>
            </w:r>
          </w:p>
        </w:tc>
        <w:tc>
          <w:tcPr>
            <w:tcW w:w="789" w:type="dxa"/>
            <w:vAlign w:val="center"/>
          </w:tcPr>
          <w:p>
            <w:pPr>
              <w:rPr>
                <w:rFonts w:hint="default"/>
                <w:vertAlign w:val="baseline"/>
                <w:lang w:val="en-US" w:eastAsia="zh-CN"/>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网上公开</w:t>
            </w:r>
          </w:p>
        </w:tc>
        <w:tc>
          <w:tcPr>
            <w:tcW w:w="1062" w:type="dxa"/>
            <w:vAlign w:val="center"/>
          </w:tcPr>
          <w:p>
            <w:pPr>
              <w:rPr>
                <w:rFonts w:hint="default"/>
                <w:vertAlign w:val="baseline"/>
                <w:lang w:val="en-US" w:eastAsia="zh-CN"/>
              </w:rPr>
            </w:pPr>
            <w:r>
              <w:rPr>
                <w:rFonts w:hint="eastAsia"/>
                <w:vertAlign w:val="baseline"/>
                <w:lang w:val="en-US" w:eastAsia="zh-CN"/>
              </w:rPr>
              <w:t>20个工作日内</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718" w:type="dxa"/>
            <w:vAlign w:val="center"/>
          </w:tcPr>
          <w:p>
            <w:pPr>
              <w:rPr>
                <w:rFonts w:hint="default"/>
                <w:vertAlign w:val="baseline"/>
                <w:lang w:val="en-US" w:eastAsia="zh-CN"/>
              </w:rPr>
            </w:pPr>
            <w:r>
              <w:rPr>
                <w:rFonts w:hint="eastAsia"/>
                <w:vertAlign w:val="baseline"/>
                <w:lang w:val="en-US" w:eastAsia="zh-CN"/>
              </w:rPr>
              <w:t>4</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生产经营单位生产安全事故应急预案备案</w:t>
            </w:r>
          </w:p>
        </w:tc>
        <w:tc>
          <w:tcPr>
            <w:tcW w:w="703" w:type="dxa"/>
            <w:vAlign w:val="center"/>
          </w:tcPr>
          <w:p>
            <w:pPr>
              <w:rPr>
                <w:rFonts w:hint="default"/>
                <w:vertAlign w:val="baseline"/>
                <w:lang w:val="en-US" w:eastAsia="zh-CN"/>
              </w:rPr>
            </w:pPr>
            <w:r>
              <w:rPr>
                <w:rFonts w:hint="eastAsia"/>
                <w:vertAlign w:val="baseline"/>
                <w:lang w:val="en-US" w:eastAsia="zh-CN"/>
              </w:rPr>
              <w:t>公共服务</w:t>
            </w:r>
          </w:p>
        </w:tc>
        <w:tc>
          <w:tcPr>
            <w:tcW w:w="6054" w:type="dxa"/>
            <w:vAlign w:val="center"/>
          </w:tcPr>
          <w:p>
            <w:pPr>
              <w:rPr>
                <w:rFonts w:hint="default"/>
                <w:vertAlign w:val="baseline"/>
                <w:lang w:val="en-US" w:eastAsia="zh-CN"/>
              </w:rPr>
            </w:pPr>
            <w:r>
              <w:rPr>
                <w:rFonts w:hint="eastAsia"/>
                <w:vertAlign w:val="baseline"/>
                <w:lang w:val="en-US" w:eastAsia="zh-CN"/>
              </w:rPr>
              <w:t>《</w:t>
            </w:r>
            <w:r>
              <w:rPr>
                <w:rFonts w:hint="default"/>
                <w:vertAlign w:val="baseline"/>
                <w:lang w:val="en-US" w:eastAsia="zh-CN"/>
              </w:rPr>
              <w:t>生产安全事故应急预案管理办法</w:t>
            </w:r>
            <w:r>
              <w:rPr>
                <w:rFonts w:hint="eastAsia"/>
                <w:vertAlign w:val="baseline"/>
                <w:lang w:val="en-US" w:eastAsia="zh-CN"/>
              </w:rPr>
              <w:t>》国家安全生产监督管理总局令第88号第二十六条，生产经营单位应当在应急预案公布之日起20个工作日内，按照分级属地原则，向安全生产监督管理部门和有关部门进行告知性备案。</w:t>
            </w:r>
          </w:p>
        </w:tc>
        <w:tc>
          <w:tcPr>
            <w:tcW w:w="904" w:type="dxa"/>
            <w:vAlign w:val="center"/>
          </w:tcPr>
          <w:p>
            <w:pPr>
              <w:rPr>
                <w:rFonts w:hint="default"/>
                <w:vertAlign w:val="baseline"/>
                <w:lang w:val="en-US" w:eastAsia="zh-CN"/>
              </w:rPr>
            </w:pPr>
            <w:r>
              <w:rPr>
                <w:rFonts w:hint="default"/>
                <w:vertAlign w:val="baseline"/>
                <w:lang w:val="en-US" w:eastAsia="zh-CN"/>
              </w:rPr>
              <w:t>备案</w:t>
            </w:r>
            <w:r>
              <w:rPr>
                <w:rFonts w:hint="eastAsia"/>
                <w:vertAlign w:val="baseline"/>
                <w:lang w:val="en-US" w:eastAsia="zh-CN"/>
              </w:rPr>
              <w:t>申请、</w:t>
            </w:r>
            <w:r>
              <w:rPr>
                <w:rFonts w:ascii="Helvetica" w:hAnsi="Helvetica" w:eastAsia="Helvetica" w:cs="Helvetica"/>
                <w:i w:val="0"/>
                <w:caps w:val="0"/>
                <w:color w:val="000000"/>
                <w:spacing w:val="0"/>
                <w:sz w:val="22"/>
                <w:szCs w:val="22"/>
                <w:shd w:val="clear" w:fill="FFFFFF"/>
              </w:rPr>
              <w:t>进程</w:t>
            </w:r>
            <w:r>
              <w:rPr>
                <w:rFonts w:hint="eastAsia" w:ascii="Helvetica" w:hAnsi="Helvetica" w:eastAsia="宋体" w:cs="Helvetica"/>
                <w:i w:val="0"/>
                <w:caps w:val="0"/>
                <w:color w:val="000000"/>
                <w:spacing w:val="0"/>
                <w:sz w:val="22"/>
                <w:szCs w:val="22"/>
                <w:shd w:val="clear" w:fill="FFFFFF"/>
                <w:lang w:eastAsia="zh-CN"/>
              </w:rPr>
              <w:t>、</w:t>
            </w:r>
            <w:r>
              <w:rPr>
                <w:rFonts w:hint="eastAsia"/>
                <w:vertAlign w:val="baseline"/>
                <w:lang w:val="en-US" w:eastAsia="zh-CN"/>
              </w:rPr>
              <w:t>办理结果</w:t>
            </w:r>
          </w:p>
        </w:tc>
        <w:tc>
          <w:tcPr>
            <w:tcW w:w="789" w:type="dxa"/>
            <w:vAlign w:val="center"/>
          </w:tcPr>
          <w:p>
            <w:pPr>
              <w:rPr>
                <w:rFonts w:hint="default"/>
                <w:vertAlign w:val="baseline"/>
                <w:lang w:val="en-US" w:eastAsia="zh-CN"/>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网上公开</w:t>
            </w:r>
          </w:p>
        </w:tc>
        <w:tc>
          <w:tcPr>
            <w:tcW w:w="1062" w:type="dxa"/>
            <w:vAlign w:val="center"/>
          </w:tcPr>
          <w:p>
            <w:pPr>
              <w:rPr>
                <w:rFonts w:hint="default"/>
                <w:vertAlign w:val="baseline"/>
                <w:lang w:val="en-US" w:eastAsia="zh-CN"/>
              </w:rPr>
            </w:pPr>
            <w:r>
              <w:rPr>
                <w:rFonts w:hint="eastAsia"/>
                <w:vertAlign w:val="baseline"/>
                <w:lang w:val="en-US" w:eastAsia="zh-CN"/>
              </w:rPr>
              <w:t>20个工作日内</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718" w:type="dxa"/>
            <w:vAlign w:val="center"/>
          </w:tcPr>
          <w:p>
            <w:pPr>
              <w:rPr>
                <w:rFonts w:hint="default"/>
                <w:vertAlign w:val="baseline"/>
                <w:lang w:val="en-US" w:eastAsia="zh-CN"/>
              </w:rPr>
            </w:pPr>
            <w:r>
              <w:rPr>
                <w:rFonts w:hint="eastAsia"/>
                <w:vertAlign w:val="baseline"/>
                <w:lang w:val="en-US" w:eastAsia="zh-CN"/>
              </w:rPr>
              <w:t>5</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重大危险源备案</w:t>
            </w:r>
          </w:p>
        </w:tc>
        <w:tc>
          <w:tcPr>
            <w:tcW w:w="703" w:type="dxa"/>
            <w:vAlign w:val="center"/>
          </w:tcPr>
          <w:p>
            <w:pPr>
              <w:rPr>
                <w:rFonts w:hint="default"/>
                <w:vertAlign w:val="baseline"/>
                <w:lang w:val="en-US" w:eastAsia="zh-CN"/>
              </w:rPr>
            </w:pPr>
            <w:r>
              <w:rPr>
                <w:rFonts w:hint="eastAsia"/>
                <w:vertAlign w:val="baseline"/>
                <w:lang w:val="en-US" w:eastAsia="zh-CN"/>
              </w:rPr>
              <w:t>公共服务</w:t>
            </w:r>
          </w:p>
        </w:tc>
        <w:tc>
          <w:tcPr>
            <w:tcW w:w="6054" w:type="dxa"/>
            <w:vAlign w:val="center"/>
          </w:tcPr>
          <w:p>
            <w:pPr>
              <w:rPr>
                <w:rFonts w:hint="default"/>
                <w:vertAlign w:val="baseline"/>
                <w:lang w:val="en-US" w:eastAsia="zh-CN"/>
              </w:rPr>
            </w:pPr>
            <w:r>
              <w:rPr>
                <w:rFonts w:hint="eastAsia"/>
                <w:vertAlign w:val="baseline"/>
                <w:lang w:val="en-US" w:eastAsia="zh-CN"/>
              </w:rPr>
              <w:t>《危险化学品重大危险源监督管理暂行规定》</w:t>
            </w:r>
            <w:r>
              <w:rPr>
                <w:rFonts w:hint="default"/>
                <w:vertAlign w:val="baseline"/>
                <w:lang w:val="en-US" w:eastAsia="zh-CN"/>
              </w:rPr>
              <w:t>国家安全生产监督管理总局令第40号</w:t>
            </w:r>
          </w:p>
          <w:p>
            <w:pPr>
              <w:rPr>
                <w:rFonts w:hint="default"/>
                <w:vertAlign w:val="baseline"/>
                <w:lang w:val="en-US" w:eastAsia="zh-CN"/>
              </w:rPr>
            </w:pPr>
            <w:r>
              <w:rPr>
                <w:rFonts w:hint="default"/>
                <w:vertAlign w:val="baseline"/>
                <w:lang w:val="en-US" w:eastAsia="zh-CN"/>
              </w:rPr>
              <w:t>条款号</w:t>
            </w:r>
            <w:r>
              <w:rPr>
                <w:rFonts w:hint="default"/>
                <w:vertAlign w:val="baseline"/>
                <w:lang w:val="en-US" w:eastAsia="zh-CN"/>
              </w:rPr>
              <w:tab/>
            </w:r>
            <w:r>
              <w:rPr>
                <w:rFonts w:hint="default"/>
                <w:vertAlign w:val="baseline"/>
                <w:lang w:val="en-US" w:eastAsia="zh-CN"/>
              </w:rPr>
              <w:t>第二十三条、第二十四条、第二十七条</w:t>
            </w:r>
            <w:r>
              <w:rPr>
                <w:rFonts w:hint="eastAsia"/>
                <w:vertAlign w:val="baseline"/>
                <w:lang w:val="en-US" w:eastAsia="zh-CN"/>
              </w:rPr>
              <w:t>，</w:t>
            </w:r>
            <w:r>
              <w:rPr>
                <w:rFonts w:hint="default"/>
                <w:vertAlign w:val="baseline"/>
                <w:lang w:val="en-US" w:eastAsia="zh-CN"/>
              </w:rPr>
              <w:t>危险化学品单位在完成重大危险源安全评估报告或者安全评价报告后15日内，应当填写重大危险源备案申请表，连同本规定第二十二条规定的重大危险源档案材料（其中第二款第五项规定的文件资料只需提供清单），报送所在地县级人民政府安全生产监督管理部门备案。危险化学品单位新建、改建和扩建危险化学品建设项目，应当在建设项目竣工验收前完成重大危险源的辨识、安全评估和分级、登记建档工作，并向所在地县级人民政府安全生产监督管理部门备案。</w:t>
            </w:r>
          </w:p>
        </w:tc>
        <w:tc>
          <w:tcPr>
            <w:tcW w:w="904" w:type="dxa"/>
            <w:vAlign w:val="center"/>
          </w:tcPr>
          <w:p>
            <w:pPr>
              <w:rPr>
                <w:rFonts w:hint="default"/>
                <w:vertAlign w:val="baseline"/>
                <w:lang w:val="en-US" w:eastAsia="zh-CN"/>
              </w:rPr>
            </w:pPr>
            <w:r>
              <w:rPr>
                <w:rFonts w:hint="default"/>
                <w:vertAlign w:val="baseline"/>
                <w:lang w:val="en-US" w:eastAsia="zh-CN"/>
              </w:rPr>
              <w:t>重大危险源</w:t>
            </w:r>
            <w:r>
              <w:rPr>
                <w:rFonts w:hint="eastAsia"/>
                <w:vertAlign w:val="baseline"/>
                <w:lang w:val="en-US" w:eastAsia="zh-CN"/>
              </w:rPr>
              <w:t>备案网上备案材料：重大危险源特征表、重大危险源基本情况等</w:t>
            </w:r>
          </w:p>
        </w:tc>
        <w:tc>
          <w:tcPr>
            <w:tcW w:w="789" w:type="dxa"/>
            <w:vAlign w:val="center"/>
          </w:tcPr>
          <w:p>
            <w:pPr>
              <w:rPr>
                <w:rFonts w:hint="default"/>
                <w:vertAlign w:val="baseline"/>
                <w:lang w:val="en-US" w:eastAsia="zh-CN"/>
              </w:rPr>
            </w:pPr>
            <w:r>
              <w:rPr>
                <w:rFonts w:hint="default"/>
                <w:vertAlign w:val="baseline"/>
                <w:lang w:val="en-US" w:eastAsia="zh-CN"/>
              </w:rPr>
              <w:t>重大危险源</w:t>
            </w:r>
            <w:r>
              <w:rPr>
                <w:rFonts w:hint="eastAsia"/>
                <w:vertAlign w:val="baseline"/>
                <w:lang w:val="en-US" w:eastAsia="zh-CN"/>
              </w:rPr>
              <w:t>生产经营单位</w:t>
            </w:r>
          </w:p>
        </w:tc>
        <w:tc>
          <w:tcPr>
            <w:tcW w:w="1005" w:type="dxa"/>
            <w:vAlign w:val="center"/>
          </w:tcPr>
          <w:p>
            <w:pPr>
              <w:rPr>
                <w:rFonts w:hint="default"/>
                <w:vertAlign w:val="baseline"/>
                <w:lang w:val="en-US" w:eastAsia="zh-CN"/>
              </w:rPr>
            </w:pPr>
            <w:r>
              <w:rPr>
                <w:rFonts w:hint="eastAsia"/>
                <w:vertAlign w:val="baseline"/>
                <w:lang w:val="en-US" w:eastAsia="zh-CN"/>
              </w:rPr>
              <w:t>省应急管理厅专门网站公开</w:t>
            </w:r>
          </w:p>
        </w:tc>
        <w:tc>
          <w:tcPr>
            <w:tcW w:w="1062" w:type="dxa"/>
            <w:vAlign w:val="center"/>
          </w:tcPr>
          <w:p>
            <w:pPr>
              <w:rPr>
                <w:rFonts w:hint="default"/>
                <w:vertAlign w:val="baseline"/>
                <w:lang w:val="en-US" w:eastAsia="zh-CN"/>
              </w:rPr>
            </w:pPr>
            <w:r>
              <w:rPr>
                <w:rFonts w:hint="eastAsia"/>
                <w:vertAlign w:val="baseline"/>
                <w:lang w:val="en-US" w:eastAsia="zh-CN"/>
              </w:rPr>
              <w:t>20个工作日内</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jc w:val="center"/>
        </w:trPr>
        <w:tc>
          <w:tcPr>
            <w:tcW w:w="718" w:type="dxa"/>
            <w:vAlign w:val="center"/>
          </w:tcPr>
          <w:p>
            <w:pPr>
              <w:rPr>
                <w:rFonts w:hint="default"/>
                <w:vertAlign w:val="baseline"/>
                <w:lang w:val="en-US" w:eastAsia="zh-CN"/>
              </w:rPr>
            </w:pPr>
            <w:r>
              <w:rPr>
                <w:rFonts w:hint="eastAsia"/>
                <w:vertAlign w:val="baseline"/>
                <w:lang w:val="en-US" w:eastAsia="zh-CN"/>
              </w:rPr>
              <w:t>6</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对用人单位职业病防治工作的监督检查</w:t>
            </w:r>
          </w:p>
        </w:tc>
        <w:tc>
          <w:tcPr>
            <w:tcW w:w="703" w:type="dxa"/>
            <w:vAlign w:val="center"/>
          </w:tcPr>
          <w:p>
            <w:pPr>
              <w:rPr>
                <w:rFonts w:hint="default"/>
                <w:vertAlign w:val="baseline"/>
                <w:lang w:val="en-US" w:eastAsia="zh-CN"/>
              </w:rPr>
            </w:pPr>
            <w:r>
              <w:rPr>
                <w:rFonts w:hint="eastAsia"/>
                <w:vertAlign w:val="baseline"/>
                <w:lang w:val="en-US" w:eastAsia="zh-CN"/>
              </w:rPr>
              <w:t>行政检查</w:t>
            </w:r>
          </w:p>
        </w:tc>
        <w:tc>
          <w:tcPr>
            <w:tcW w:w="6054" w:type="dxa"/>
            <w:vAlign w:val="center"/>
          </w:tcPr>
          <w:p>
            <w:pPr>
              <w:rPr>
                <w:rFonts w:hint="default"/>
                <w:vertAlign w:val="baseline"/>
                <w:lang w:val="en-US" w:eastAsia="zh-CN"/>
              </w:rPr>
            </w:pPr>
            <w:r>
              <w:rPr>
                <w:rFonts w:hint="default"/>
                <w:vertAlign w:val="baseline"/>
                <w:lang w:val="en-US" w:eastAsia="zh-CN"/>
              </w:rPr>
              <w:t>《职业病防治法》（201</w:t>
            </w:r>
            <w:r>
              <w:rPr>
                <w:rFonts w:hint="eastAsia"/>
                <w:vertAlign w:val="baseline"/>
                <w:lang w:val="en-US" w:eastAsia="zh-CN"/>
              </w:rPr>
              <w:t>8</w:t>
            </w:r>
            <w:r>
              <w:rPr>
                <w:rFonts w:hint="default"/>
                <w:vertAlign w:val="baseline"/>
                <w:lang w:val="en-US" w:eastAsia="zh-CN"/>
              </w:rPr>
              <w:t>年修正）第六十</w:t>
            </w:r>
            <w:r>
              <w:rPr>
                <w:rFonts w:hint="eastAsia"/>
                <w:vertAlign w:val="baseline"/>
                <w:lang w:val="en-US" w:eastAsia="zh-CN"/>
              </w:rPr>
              <w:t>二</w:t>
            </w:r>
            <w:r>
              <w:rPr>
                <w:rFonts w:hint="default"/>
                <w:vertAlign w:val="baseline"/>
                <w:lang w:val="en-US" w:eastAsia="zh-CN"/>
              </w:rPr>
              <w:t>条。</w:t>
            </w:r>
          </w:p>
          <w:p>
            <w:pPr>
              <w:rPr>
                <w:rFonts w:hint="default"/>
                <w:vertAlign w:val="baseline"/>
                <w:lang w:val="en-US" w:eastAsia="zh-CN"/>
              </w:rPr>
            </w:pPr>
            <w:r>
              <w:rPr>
                <w:rFonts w:hint="default"/>
                <w:vertAlign w:val="baseline"/>
                <w:lang w:val="en-US" w:eastAsia="zh-CN"/>
              </w:rPr>
              <w:t>县级以上人民政府职业卫生监督管理部门依照职业病防治法律、法规、国家职业卫生标准和卫生要求，依据职责划分，对职业病防治工作进行监督检查。</w:t>
            </w:r>
          </w:p>
        </w:tc>
        <w:tc>
          <w:tcPr>
            <w:tcW w:w="904" w:type="dxa"/>
            <w:vAlign w:val="center"/>
          </w:tcPr>
          <w:p>
            <w:pPr>
              <w:rPr>
                <w:rFonts w:hint="default"/>
                <w:vertAlign w:val="baseline"/>
                <w:lang w:val="en-US" w:eastAsia="zh-CN"/>
              </w:rPr>
            </w:pPr>
            <w:r>
              <w:rPr>
                <w:rFonts w:hint="eastAsia"/>
                <w:vertAlign w:val="baseline"/>
                <w:lang w:val="en-US" w:eastAsia="zh-CN"/>
              </w:rPr>
              <w:t>现场检查记录、整改指令书、复查意见书</w:t>
            </w:r>
          </w:p>
        </w:tc>
        <w:tc>
          <w:tcPr>
            <w:tcW w:w="789" w:type="dxa"/>
            <w:vAlign w:val="center"/>
          </w:tcPr>
          <w:p>
            <w:pPr>
              <w:rPr>
                <w:rFonts w:hint="default"/>
                <w:vertAlign w:val="baseline"/>
                <w:lang w:val="en-US" w:eastAsia="zh-CN"/>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省应急管理厅专门网站公开</w:t>
            </w:r>
          </w:p>
        </w:tc>
        <w:tc>
          <w:tcPr>
            <w:tcW w:w="1062" w:type="dxa"/>
            <w:vAlign w:val="center"/>
          </w:tcPr>
          <w:p>
            <w:pPr>
              <w:rPr>
                <w:rFonts w:hint="default"/>
                <w:vertAlign w:val="baseline"/>
                <w:lang w:val="en-US" w:eastAsia="zh-CN"/>
              </w:rPr>
            </w:pPr>
            <w:r>
              <w:rPr>
                <w:rFonts w:hint="eastAsia"/>
                <w:vertAlign w:val="baseline"/>
                <w:lang w:val="en-US" w:eastAsia="zh-CN"/>
              </w:rPr>
              <w:t>立即公开</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718" w:type="dxa"/>
            <w:vAlign w:val="center"/>
          </w:tcPr>
          <w:p>
            <w:pPr>
              <w:rPr>
                <w:rFonts w:hint="default"/>
                <w:vertAlign w:val="baseline"/>
                <w:lang w:val="en-US" w:eastAsia="zh-CN"/>
              </w:rPr>
            </w:pPr>
            <w:r>
              <w:rPr>
                <w:rFonts w:hint="eastAsia"/>
                <w:vertAlign w:val="baseline"/>
                <w:lang w:val="en-US" w:eastAsia="zh-CN"/>
              </w:rPr>
              <w:t>7</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对生产经营单位的安全培训情况进行监督检查</w:t>
            </w:r>
          </w:p>
        </w:tc>
        <w:tc>
          <w:tcPr>
            <w:tcW w:w="703" w:type="dxa"/>
            <w:vAlign w:val="center"/>
          </w:tcPr>
          <w:p>
            <w:pPr>
              <w:rPr>
                <w:rFonts w:hint="default"/>
                <w:vertAlign w:val="baseline"/>
                <w:lang w:val="en-US" w:eastAsia="zh-CN"/>
              </w:rPr>
            </w:pPr>
            <w:r>
              <w:rPr>
                <w:rFonts w:hint="eastAsia"/>
                <w:vertAlign w:val="baseline"/>
                <w:lang w:val="en-US" w:eastAsia="zh-CN"/>
              </w:rPr>
              <w:t>行政检查</w:t>
            </w:r>
          </w:p>
        </w:tc>
        <w:tc>
          <w:tcPr>
            <w:tcW w:w="6054" w:type="dxa"/>
            <w:vAlign w:val="center"/>
          </w:tcPr>
          <w:p>
            <w:pPr>
              <w:rPr>
                <w:rFonts w:hint="default"/>
                <w:vertAlign w:val="baseline"/>
                <w:lang w:val="en-US" w:eastAsia="zh-CN"/>
              </w:rPr>
            </w:pPr>
            <w:r>
              <w:rPr>
                <w:rFonts w:hint="default"/>
                <w:vertAlign w:val="baseline"/>
                <w:lang w:val="en-US" w:eastAsia="zh-CN"/>
              </w:rPr>
              <w:t>《安全生产检测检验机构管理规定》</w:t>
            </w:r>
            <w:r>
              <w:rPr>
                <w:rFonts w:hint="eastAsia"/>
                <w:vertAlign w:val="baseline"/>
                <w:lang w:val="en-US" w:eastAsia="zh-CN"/>
              </w:rPr>
              <w:t>（</w:t>
            </w:r>
            <w:r>
              <w:rPr>
                <w:rFonts w:hint="default"/>
                <w:vertAlign w:val="baseline"/>
                <w:lang w:val="en-US" w:eastAsia="zh-CN"/>
              </w:rPr>
              <w:t>2015年国家安全监管总局令第80号修正</w:t>
            </w:r>
            <w:r>
              <w:rPr>
                <w:rFonts w:hint="eastAsia"/>
                <w:vertAlign w:val="baseline"/>
                <w:lang w:val="en-US" w:eastAsia="zh-CN"/>
              </w:rPr>
              <w:t>）第二十九条，</w:t>
            </w:r>
            <w:r>
              <w:rPr>
                <w:rFonts w:hint="default"/>
                <w:vertAlign w:val="baseline"/>
                <w:lang w:val="en-US" w:eastAsia="zh-CN"/>
              </w:rPr>
              <w:t>安全生产监督管理部门和煤矿安全培训监管机构应当对安全培训机构开展安全培训活动的情况进行监督检查</w:t>
            </w:r>
            <w:r>
              <w:rPr>
                <w:rFonts w:hint="eastAsia"/>
                <w:vertAlign w:val="baseline"/>
                <w:lang w:val="en-US" w:eastAsia="zh-CN"/>
              </w:rPr>
              <w:t>。</w:t>
            </w:r>
          </w:p>
        </w:tc>
        <w:tc>
          <w:tcPr>
            <w:tcW w:w="904" w:type="dxa"/>
            <w:vAlign w:val="center"/>
          </w:tcPr>
          <w:p>
            <w:pPr>
              <w:rPr>
                <w:rFonts w:hint="default"/>
                <w:vertAlign w:val="baseline"/>
                <w:lang w:val="en-US" w:eastAsia="zh-CN"/>
              </w:rPr>
            </w:pPr>
            <w:r>
              <w:rPr>
                <w:rFonts w:hint="eastAsia"/>
                <w:vertAlign w:val="baseline"/>
                <w:lang w:val="en-US" w:eastAsia="zh-CN"/>
              </w:rPr>
              <w:t>现场检查记录、整改指令书、复查意见书</w:t>
            </w:r>
          </w:p>
        </w:tc>
        <w:tc>
          <w:tcPr>
            <w:tcW w:w="789" w:type="dxa"/>
            <w:vAlign w:val="center"/>
          </w:tcPr>
          <w:p>
            <w:pPr>
              <w:rPr>
                <w:rFonts w:hint="default"/>
                <w:vertAlign w:val="baseline"/>
                <w:lang w:val="en-US" w:eastAsia="zh-CN"/>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省应急管理厅专门网站公开</w:t>
            </w:r>
          </w:p>
        </w:tc>
        <w:tc>
          <w:tcPr>
            <w:tcW w:w="1062" w:type="dxa"/>
            <w:vAlign w:val="center"/>
          </w:tcPr>
          <w:p>
            <w:pPr>
              <w:rPr>
                <w:rFonts w:hint="default"/>
                <w:vertAlign w:val="baseline"/>
                <w:lang w:val="en-US" w:eastAsia="zh-CN"/>
              </w:rPr>
            </w:pPr>
            <w:r>
              <w:rPr>
                <w:rFonts w:hint="eastAsia"/>
                <w:vertAlign w:val="baseline"/>
                <w:lang w:val="en-US" w:eastAsia="zh-CN"/>
              </w:rPr>
              <w:t>立即公开</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718" w:type="dxa"/>
            <w:vAlign w:val="center"/>
          </w:tcPr>
          <w:p>
            <w:pPr>
              <w:rPr>
                <w:rFonts w:hint="default"/>
                <w:vertAlign w:val="baseline"/>
                <w:lang w:val="en-US" w:eastAsia="zh-CN"/>
              </w:rPr>
            </w:pPr>
            <w:r>
              <w:rPr>
                <w:rFonts w:hint="eastAsia"/>
                <w:vertAlign w:val="baseline"/>
                <w:lang w:val="en-US" w:eastAsia="zh-CN"/>
              </w:rPr>
              <w:t>8</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对非煤矿山企业、危险化学品生产经营企业、纳入危险化学品使用安全许可的化工企业、烟花爆竹经营企业、非药品类易制毒化学品生产经营企业、冶金等工贸行业企业安全生产隐患的排查和治理监督</w:t>
            </w:r>
          </w:p>
        </w:tc>
        <w:tc>
          <w:tcPr>
            <w:tcW w:w="703" w:type="dxa"/>
            <w:vAlign w:val="center"/>
          </w:tcPr>
          <w:p>
            <w:pPr>
              <w:rPr>
                <w:rFonts w:hint="default"/>
                <w:vertAlign w:val="baseline"/>
                <w:lang w:val="en-US" w:eastAsia="zh-CN"/>
              </w:rPr>
            </w:pPr>
            <w:r>
              <w:rPr>
                <w:rFonts w:hint="eastAsia"/>
                <w:vertAlign w:val="baseline"/>
                <w:lang w:val="en-US" w:eastAsia="zh-CN"/>
              </w:rPr>
              <w:t>行政检查</w:t>
            </w:r>
          </w:p>
        </w:tc>
        <w:tc>
          <w:tcPr>
            <w:tcW w:w="6054" w:type="dxa"/>
            <w:vAlign w:val="center"/>
          </w:tcPr>
          <w:p>
            <w:pPr>
              <w:rPr>
                <w:rFonts w:hint="default"/>
                <w:vertAlign w:val="baseline"/>
                <w:lang w:val="en-US" w:eastAsia="zh-CN"/>
              </w:rPr>
            </w:pPr>
            <w:r>
              <w:rPr>
                <w:rFonts w:hint="default"/>
                <w:vertAlign w:val="baseline"/>
                <w:lang w:val="en-US" w:eastAsia="zh-CN"/>
              </w:rPr>
              <w:t>《安全生产事故隐患排查治理暂行规定》</w:t>
            </w:r>
            <w:r>
              <w:rPr>
                <w:rFonts w:hint="eastAsia"/>
                <w:vertAlign w:val="baseline"/>
                <w:lang w:val="en-US" w:eastAsia="zh-CN"/>
              </w:rPr>
              <w:t>（</w:t>
            </w:r>
            <w:r>
              <w:rPr>
                <w:rFonts w:hint="default"/>
                <w:vertAlign w:val="baseline"/>
                <w:lang w:val="en-US" w:eastAsia="zh-CN"/>
              </w:rPr>
              <w:t>国家安全监管总局令第16号</w:t>
            </w:r>
            <w:r>
              <w:rPr>
                <w:rFonts w:hint="eastAsia"/>
                <w:vertAlign w:val="baseline"/>
                <w:lang w:val="en-US" w:eastAsia="zh-CN"/>
              </w:rPr>
              <w:t>）</w:t>
            </w:r>
            <w:r>
              <w:rPr>
                <w:rFonts w:hint="default"/>
                <w:vertAlign w:val="baseline"/>
                <w:lang w:val="en-US" w:eastAsia="zh-CN"/>
              </w:rPr>
              <w:t>第二十条</w:t>
            </w:r>
            <w:r>
              <w:rPr>
                <w:rFonts w:hint="eastAsia"/>
                <w:vertAlign w:val="baseline"/>
                <w:lang w:val="en-US" w:eastAsia="zh-CN"/>
              </w:rPr>
              <w:t>，安全监管监察部门应当建立事故隐患排查治理监督检查制度，定期组织对生产经营单位事故隐患排查治理情况开展监督检查；应当加强对重点单位的事故隐患排查治理情况的监督检查。对检查过程中发现的重大事故隐患，应当下达整改指令书，并建立信息管理台账。必要时，报告同级人民政府并对重大事故隐患实行挂牌督办。安全监管监察部门应当配合有关部门做好对生产经营单位事故隐患排查治理情况开展的监督检查，依法查处事故隐患排查治理的非法和违法行为及其责任者。安全监管监察部门发现属于其他有关部门职责范围内的重大事故隐患的，应该及时将有关资料移送有管辖权的有关部门，并记录备查。</w:t>
            </w:r>
          </w:p>
        </w:tc>
        <w:tc>
          <w:tcPr>
            <w:tcW w:w="904" w:type="dxa"/>
            <w:vAlign w:val="center"/>
          </w:tcPr>
          <w:p>
            <w:pPr>
              <w:rPr>
                <w:rFonts w:hint="default"/>
                <w:vertAlign w:val="baseline"/>
                <w:lang w:val="en-US" w:eastAsia="zh-CN"/>
              </w:rPr>
            </w:pPr>
            <w:r>
              <w:rPr>
                <w:rFonts w:hint="eastAsia"/>
                <w:vertAlign w:val="baseline"/>
                <w:lang w:val="en-US" w:eastAsia="zh-CN"/>
              </w:rPr>
              <w:t>现场检查记录、整改指令书、复查意见书</w:t>
            </w:r>
          </w:p>
        </w:tc>
        <w:tc>
          <w:tcPr>
            <w:tcW w:w="789" w:type="dxa"/>
            <w:vAlign w:val="center"/>
          </w:tcPr>
          <w:p>
            <w:pPr>
              <w:rPr>
                <w:rFonts w:hint="default"/>
                <w:vertAlign w:val="baseline"/>
                <w:lang w:val="en-US" w:eastAsia="zh-CN"/>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省应急管理厅专门网站公开</w:t>
            </w:r>
          </w:p>
        </w:tc>
        <w:tc>
          <w:tcPr>
            <w:tcW w:w="1062" w:type="dxa"/>
            <w:vAlign w:val="center"/>
          </w:tcPr>
          <w:p>
            <w:pPr>
              <w:rPr>
                <w:rFonts w:hint="default"/>
                <w:vertAlign w:val="baseline"/>
                <w:lang w:val="en-US" w:eastAsia="zh-CN"/>
              </w:rPr>
            </w:pPr>
            <w:r>
              <w:rPr>
                <w:rFonts w:hint="eastAsia"/>
                <w:vertAlign w:val="baseline"/>
                <w:lang w:val="en-US" w:eastAsia="zh-CN"/>
              </w:rPr>
              <w:t>立即公开</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718" w:type="dxa"/>
            <w:vAlign w:val="center"/>
          </w:tcPr>
          <w:p>
            <w:pPr>
              <w:rPr>
                <w:rFonts w:hint="default"/>
                <w:vertAlign w:val="baseline"/>
                <w:lang w:val="en-US" w:eastAsia="zh-CN"/>
              </w:rPr>
            </w:pPr>
            <w:r>
              <w:rPr>
                <w:rFonts w:hint="eastAsia"/>
                <w:vertAlign w:val="baseline"/>
                <w:lang w:val="en-US" w:eastAsia="zh-CN"/>
              </w:rPr>
              <w:t>9</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对非煤矿山企业劳动条件、安全状况、作业场所、生产设备、职工安全教育和培训工作、等情况的监督检查</w:t>
            </w:r>
          </w:p>
        </w:tc>
        <w:tc>
          <w:tcPr>
            <w:tcW w:w="703" w:type="dxa"/>
            <w:vAlign w:val="center"/>
          </w:tcPr>
          <w:p>
            <w:pPr>
              <w:rPr>
                <w:rFonts w:hint="default"/>
                <w:vertAlign w:val="baseline"/>
                <w:lang w:val="en-US" w:eastAsia="zh-CN"/>
              </w:rPr>
            </w:pPr>
            <w:r>
              <w:rPr>
                <w:rFonts w:hint="eastAsia"/>
                <w:vertAlign w:val="baseline"/>
                <w:lang w:val="en-US" w:eastAsia="zh-CN"/>
              </w:rPr>
              <w:t>行政检查</w:t>
            </w:r>
          </w:p>
        </w:tc>
        <w:tc>
          <w:tcPr>
            <w:tcW w:w="6054" w:type="dxa"/>
            <w:vAlign w:val="center"/>
          </w:tcPr>
          <w:p>
            <w:pPr>
              <w:rPr>
                <w:rFonts w:hint="default"/>
                <w:vertAlign w:val="baseline"/>
                <w:lang w:val="en-US" w:eastAsia="zh-CN"/>
              </w:rPr>
            </w:pPr>
            <w:r>
              <w:rPr>
                <w:rFonts w:hint="default"/>
                <w:vertAlign w:val="baseline"/>
                <w:lang w:val="en-US" w:eastAsia="zh-CN"/>
              </w:rPr>
              <w:t>《中华人民共和国矿山安全法》</w:t>
            </w:r>
            <w:r>
              <w:rPr>
                <w:rFonts w:hint="eastAsia"/>
                <w:vertAlign w:val="baseline"/>
                <w:lang w:val="en-US" w:eastAsia="zh-CN"/>
              </w:rPr>
              <w:t>（2</w:t>
            </w:r>
            <w:r>
              <w:rPr>
                <w:rFonts w:hint="default"/>
                <w:vertAlign w:val="baseline"/>
                <w:lang w:val="en-US" w:eastAsia="zh-CN"/>
              </w:rPr>
              <w:t>009年修正</w:t>
            </w:r>
          </w:p>
          <w:p>
            <w:pPr>
              <w:rPr>
                <w:rFonts w:hint="default"/>
                <w:vertAlign w:val="baseline"/>
                <w:lang w:val="en-US" w:eastAsia="zh-CN"/>
              </w:rPr>
            </w:pPr>
            <w:r>
              <w:rPr>
                <w:rFonts w:hint="default"/>
                <w:vertAlign w:val="baseline"/>
                <w:lang w:val="en-US" w:eastAsia="zh-CN"/>
              </w:rPr>
              <w:t>中华人民共和国主席令第18号《全国人民代表大会常务委员会关于修改部分法律的决定》修正</w:t>
            </w:r>
            <w:r>
              <w:rPr>
                <w:rFonts w:hint="eastAsia"/>
                <w:vertAlign w:val="baseline"/>
                <w:lang w:val="en-US" w:eastAsia="zh-CN"/>
              </w:rPr>
              <w:t>）</w:t>
            </w:r>
          </w:p>
          <w:p>
            <w:pPr>
              <w:rPr>
                <w:rFonts w:hint="eastAsia"/>
                <w:vertAlign w:val="baseline"/>
                <w:lang w:val="en-US" w:eastAsia="zh-CN"/>
              </w:rPr>
            </w:pPr>
            <w:r>
              <w:rPr>
                <w:rFonts w:hint="default"/>
                <w:vertAlign w:val="baseline"/>
                <w:lang w:val="en-US" w:eastAsia="zh-CN"/>
              </w:rPr>
              <w:t>第三十三条</w:t>
            </w:r>
            <w:r>
              <w:rPr>
                <w:rFonts w:hint="eastAsia"/>
                <w:vertAlign w:val="baseline"/>
                <w:lang w:val="en-US" w:eastAsia="zh-CN"/>
              </w:rPr>
              <w:t xml:space="preserve">，县级以上各级人民政府劳动行政主管部门对矿山安全工作行使下列监督职责： </w:t>
            </w:r>
          </w:p>
          <w:p>
            <w:pPr>
              <w:rPr>
                <w:rFonts w:hint="eastAsia"/>
                <w:vertAlign w:val="baseline"/>
                <w:lang w:val="en-US" w:eastAsia="zh-CN"/>
              </w:rPr>
            </w:pPr>
            <w:r>
              <w:rPr>
                <w:rFonts w:hint="eastAsia"/>
                <w:vertAlign w:val="baseline"/>
                <w:lang w:val="en-US" w:eastAsia="zh-CN"/>
              </w:rPr>
              <w:t xml:space="preserve">（一）检查矿山企业和管理矿山企业的主管部门贯彻执行矿山安全法律、法规的情况； </w:t>
            </w:r>
          </w:p>
          <w:p>
            <w:pPr>
              <w:rPr>
                <w:rFonts w:hint="eastAsia"/>
                <w:vertAlign w:val="baseline"/>
                <w:lang w:val="en-US" w:eastAsia="zh-CN"/>
              </w:rPr>
            </w:pPr>
            <w:r>
              <w:rPr>
                <w:rFonts w:hint="eastAsia"/>
                <w:vertAlign w:val="baseline"/>
                <w:lang w:val="en-US" w:eastAsia="zh-CN"/>
              </w:rPr>
              <w:t xml:space="preserve">（二）参加矿山建设工程安全设施的设计审查和竣工验收； </w:t>
            </w:r>
          </w:p>
          <w:p>
            <w:pPr>
              <w:rPr>
                <w:rFonts w:hint="eastAsia"/>
                <w:vertAlign w:val="baseline"/>
                <w:lang w:val="en-US" w:eastAsia="zh-CN"/>
              </w:rPr>
            </w:pPr>
            <w:r>
              <w:rPr>
                <w:rFonts w:hint="eastAsia"/>
                <w:vertAlign w:val="baseline"/>
                <w:lang w:val="en-US" w:eastAsia="zh-CN"/>
              </w:rPr>
              <w:t xml:space="preserve">（三）检查矿山劳动条件和安全状况； </w:t>
            </w:r>
          </w:p>
          <w:p>
            <w:pPr>
              <w:rPr>
                <w:rFonts w:hint="eastAsia"/>
                <w:vertAlign w:val="baseline"/>
                <w:lang w:val="en-US" w:eastAsia="zh-CN"/>
              </w:rPr>
            </w:pPr>
            <w:r>
              <w:rPr>
                <w:rFonts w:hint="eastAsia"/>
                <w:vertAlign w:val="baseline"/>
                <w:lang w:val="en-US" w:eastAsia="zh-CN"/>
              </w:rPr>
              <w:t xml:space="preserve">（四）检查矿山企业职工安全教育、培训工作； </w:t>
            </w:r>
          </w:p>
          <w:p>
            <w:pPr>
              <w:rPr>
                <w:rFonts w:hint="eastAsia"/>
                <w:vertAlign w:val="baseline"/>
                <w:lang w:val="en-US" w:eastAsia="zh-CN"/>
              </w:rPr>
            </w:pPr>
            <w:r>
              <w:rPr>
                <w:rFonts w:hint="eastAsia"/>
                <w:vertAlign w:val="baseline"/>
                <w:lang w:val="en-US" w:eastAsia="zh-CN"/>
              </w:rPr>
              <w:t xml:space="preserve">（五）监督矿山企业提取和使用安全技术措施专项费用的情况； </w:t>
            </w:r>
          </w:p>
          <w:p>
            <w:pPr>
              <w:rPr>
                <w:rFonts w:hint="eastAsia"/>
                <w:vertAlign w:val="baseline"/>
                <w:lang w:val="en-US" w:eastAsia="zh-CN"/>
              </w:rPr>
            </w:pPr>
            <w:r>
              <w:rPr>
                <w:rFonts w:hint="eastAsia"/>
                <w:vertAlign w:val="baseline"/>
                <w:lang w:val="en-US" w:eastAsia="zh-CN"/>
              </w:rPr>
              <w:t xml:space="preserve">（六）参加并监督矿山事故的调查和处理； </w:t>
            </w:r>
          </w:p>
          <w:p>
            <w:pPr>
              <w:rPr>
                <w:rFonts w:hint="default"/>
                <w:vertAlign w:val="baseline"/>
                <w:lang w:val="en-US" w:eastAsia="zh-CN"/>
              </w:rPr>
            </w:pPr>
            <w:r>
              <w:rPr>
                <w:rFonts w:hint="eastAsia"/>
                <w:vertAlign w:val="baseline"/>
                <w:lang w:val="en-US" w:eastAsia="zh-CN"/>
              </w:rPr>
              <w:t>（七）法律、行政法规规定的其他监督职责。</w:t>
            </w:r>
          </w:p>
        </w:tc>
        <w:tc>
          <w:tcPr>
            <w:tcW w:w="904" w:type="dxa"/>
            <w:vAlign w:val="center"/>
          </w:tcPr>
          <w:p>
            <w:pPr>
              <w:rPr>
                <w:rFonts w:hint="default"/>
                <w:vertAlign w:val="baseline"/>
                <w:lang w:val="en-US" w:eastAsia="zh-CN"/>
              </w:rPr>
            </w:pPr>
            <w:r>
              <w:rPr>
                <w:rFonts w:hint="eastAsia"/>
                <w:vertAlign w:val="baseline"/>
                <w:lang w:val="en-US" w:eastAsia="zh-CN"/>
              </w:rPr>
              <w:t>现场检查记录、整改指令书、复查意见书</w:t>
            </w:r>
          </w:p>
        </w:tc>
        <w:tc>
          <w:tcPr>
            <w:tcW w:w="789" w:type="dxa"/>
            <w:vAlign w:val="center"/>
          </w:tcPr>
          <w:p>
            <w:pPr>
              <w:rPr>
                <w:rFonts w:hint="default"/>
                <w:vertAlign w:val="baseline"/>
                <w:lang w:val="en-US" w:eastAsia="zh-CN"/>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省应急管理厅专门网站公开</w:t>
            </w:r>
          </w:p>
        </w:tc>
        <w:tc>
          <w:tcPr>
            <w:tcW w:w="1062" w:type="dxa"/>
            <w:vAlign w:val="center"/>
          </w:tcPr>
          <w:p>
            <w:pPr>
              <w:rPr>
                <w:rFonts w:hint="default"/>
                <w:vertAlign w:val="baseline"/>
                <w:lang w:val="en-US" w:eastAsia="zh-CN"/>
              </w:rPr>
            </w:pPr>
            <w:r>
              <w:rPr>
                <w:rFonts w:hint="eastAsia"/>
                <w:vertAlign w:val="baseline"/>
                <w:lang w:val="en-US" w:eastAsia="zh-CN"/>
              </w:rPr>
              <w:t>立即公开</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718" w:type="dxa"/>
            <w:vAlign w:val="center"/>
          </w:tcPr>
          <w:p>
            <w:pPr>
              <w:rPr>
                <w:rFonts w:hint="default"/>
                <w:vertAlign w:val="baseline"/>
                <w:lang w:val="en-US" w:eastAsia="zh-CN"/>
              </w:rPr>
            </w:pPr>
            <w:r>
              <w:rPr>
                <w:rFonts w:hint="eastAsia"/>
                <w:vertAlign w:val="baseline"/>
                <w:lang w:val="en-US" w:eastAsia="zh-CN"/>
              </w:rPr>
              <w:t>10</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对小型露天采石场安全生产情况的监督检查</w:t>
            </w:r>
          </w:p>
        </w:tc>
        <w:tc>
          <w:tcPr>
            <w:tcW w:w="703" w:type="dxa"/>
            <w:vAlign w:val="center"/>
          </w:tcPr>
          <w:p>
            <w:pPr>
              <w:rPr>
                <w:rFonts w:hint="default"/>
                <w:vertAlign w:val="baseline"/>
                <w:lang w:val="en-US" w:eastAsia="zh-CN"/>
              </w:rPr>
            </w:pPr>
            <w:r>
              <w:rPr>
                <w:rFonts w:hint="eastAsia"/>
                <w:vertAlign w:val="baseline"/>
                <w:lang w:val="en-US" w:eastAsia="zh-CN"/>
              </w:rPr>
              <w:t>行政检查</w:t>
            </w:r>
          </w:p>
        </w:tc>
        <w:tc>
          <w:tcPr>
            <w:tcW w:w="6054" w:type="dxa"/>
            <w:vAlign w:val="center"/>
          </w:tcPr>
          <w:p>
            <w:pPr>
              <w:rPr>
                <w:rFonts w:hint="default"/>
                <w:vertAlign w:val="baseline"/>
                <w:lang w:val="en-US" w:eastAsia="zh-CN"/>
              </w:rPr>
            </w:pPr>
            <w:r>
              <w:rPr>
                <w:rFonts w:hint="eastAsia"/>
                <w:vertAlign w:val="baseline"/>
                <w:lang w:val="en-US" w:eastAsia="zh-CN"/>
              </w:rPr>
              <w:t>《</w:t>
            </w:r>
            <w:r>
              <w:rPr>
                <w:rFonts w:hint="default"/>
                <w:vertAlign w:val="baseline"/>
                <w:lang w:val="en-US" w:eastAsia="zh-CN"/>
              </w:rPr>
              <w:t>小型露天采石场安全管理与监督检查规定</w:t>
            </w:r>
            <w:r>
              <w:rPr>
                <w:rFonts w:hint="eastAsia"/>
                <w:vertAlign w:val="baseline"/>
                <w:lang w:val="en-US" w:eastAsia="zh-CN"/>
              </w:rPr>
              <w:t>》</w:t>
            </w:r>
            <w:r>
              <w:rPr>
                <w:rFonts w:hint="default"/>
                <w:vertAlign w:val="baseline"/>
                <w:lang w:val="en-US" w:eastAsia="zh-CN"/>
              </w:rPr>
              <w:t>（2011年5月4日国家安全监管总局令第 39 号公布，根据 2015年5月26 日国家安全监管总局令78 号修正）第二十九条 安全生产监督管理部门应当加强对小型露天采石场的监督检查，对检查中发现的事故隐患和安全生产违法违规行为，依法作出现场处理或者实施行政处罚。</w:t>
            </w:r>
          </w:p>
        </w:tc>
        <w:tc>
          <w:tcPr>
            <w:tcW w:w="904" w:type="dxa"/>
            <w:vAlign w:val="center"/>
          </w:tcPr>
          <w:p>
            <w:pPr>
              <w:rPr>
                <w:rFonts w:hint="default"/>
                <w:vertAlign w:val="baseline"/>
                <w:lang w:val="en-US" w:eastAsia="zh-CN"/>
              </w:rPr>
            </w:pPr>
            <w:r>
              <w:rPr>
                <w:rFonts w:hint="eastAsia"/>
                <w:vertAlign w:val="baseline"/>
                <w:lang w:val="en-US" w:eastAsia="zh-CN"/>
              </w:rPr>
              <w:t>现场检查记录、整改指令书、复查意见书</w:t>
            </w:r>
          </w:p>
        </w:tc>
        <w:tc>
          <w:tcPr>
            <w:tcW w:w="789" w:type="dxa"/>
            <w:vAlign w:val="center"/>
          </w:tcPr>
          <w:p>
            <w:pPr>
              <w:rPr>
                <w:rFonts w:hint="default"/>
                <w:vertAlign w:val="baseline"/>
                <w:lang w:val="en-US" w:eastAsia="zh-CN"/>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省应急管理厅专门网站公开</w:t>
            </w:r>
          </w:p>
        </w:tc>
        <w:tc>
          <w:tcPr>
            <w:tcW w:w="1062" w:type="dxa"/>
            <w:vAlign w:val="center"/>
          </w:tcPr>
          <w:p>
            <w:pPr>
              <w:rPr>
                <w:rFonts w:hint="default"/>
                <w:vertAlign w:val="baseline"/>
                <w:lang w:val="en-US" w:eastAsia="zh-CN"/>
              </w:rPr>
            </w:pPr>
            <w:r>
              <w:rPr>
                <w:rFonts w:hint="eastAsia"/>
                <w:vertAlign w:val="baseline"/>
                <w:lang w:val="en-US" w:eastAsia="zh-CN"/>
              </w:rPr>
              <w:t>立即公开</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718" w:type="dxa"/>
            <w:vAlign w:val="center"/>
          </w:tcPr>
          <w:p>
            <w:pPr>
              <w:rPr>
                <w:rFonts w:hint="default"/>
                <w:vertAlign w:val="baseline"/>
                <w:lang w:val="en-US" w:eastAsia="zh-CN"/>
              </w:rPr>
            </w:pPr>
            <w:r>
              <w:rPr>
                <w:rFonts w:hint="eastAsia"/>
                <w:vertAlign w:val="baseline"/>
                <w:lang w:val="en-US" w:eastAsia="zh-CN"/>
              </w:rPr>
              <w:t>11</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对非煤矿山外包工程安全生产情况的监督检查</w:t>
            </w:r>
          </w:p>
        </w:tc>
        <w:tc>
          <w:tcPr>
            <w:tcW w:w="703" w:type="dxa"/>
            <w:vAlign w:val="center"/>
          </w:tcPr>
          <w:p>
            <w:pPr>
              <w:rPr>
                <w:rFonts w:hint="default"/>
                <w:vertAlign w:val="baseline"/>
                <w:lang w:val="en-US" w:eastAsia="zh-CN"/>
              </w:rPr>
            </w:pPr>
            <w:r>
              <w:rPr>
                <w:rFonts w:hint="eastAsia"/>
                <w:vertAlign w:val="baseline"/>
                <w:lang w:val="en-US" w:eastAsia="zh-CN"/>
              </w:rPr>
              <w:t>行政检查</w:t>
            </w:r>
          </w:p>
        </w:tc>
        <w:tc>
          <w:tcPr>
            <w:tcW w:w="6054" w:type="dxa"/>
            <w:vAlign w:val="center"/>
          </w:tcPr>
          <w:p>
            <w:pPr>
              <w:rPr>
                <w:rFonts w:hint="default"/>
                <w:vertAlign w:val="baseline"/>
                <w:lang w:val="en-US" w:eastAsia="zh-CN"/>
              </w:rPr>
            </w:pPr>
            <w:r>
              <w:rPr>
                <w:rFonts w:hint="default"/>
                <w:vertAlign w:val="baseline"/>
                <w:lang w:val="en-US" w:eastAsia="zh-CN"/>
              </w:rPr>
              <w:t>《金属非金属地下矿山企业领导带班下井及监督检查暂行规定》（2015年国家安全监管总局令第78号修正）第二十九条安全生产监督管理部门应当加强对外包工程的安全生产监督检查。</w:t>
            </w:r>
          </w:p>
        </w:tc>
        <w:tc>
          <w:tcPr>
            <w:tcW w:w="904" w:type="dxa"/>
            <w:vAlign w:val="center"/>
          </w:tcPr>
          <w:p>
            <w:pPr>
              <w:rPr>
                <w:rFonts w:hint="default"/>
                <w:vertAlign w:val="baseline"/>
                <w:lang w:val="en-US" w:eastAsia="zh-CN"/>
              </w:rPr>
            </w:pPr>
            <w:r>
              <w:rPr>
                <w:rFonts w:hint="eastAsia"/>
                <w:vertAlign w:val="baseline"/>
                <w:lang w:val="en-US" w:eastAsia="zh-CN"/>
              </w:rPr>
              <w:t>现场检查记录、整改指令书、复查意见书</w:t>
            </w:r>
          </w:p>
        </w:tc>
        <w:tc>
          <w:tcPr>
            <w:tcW w:w="789" w:type="dxa"/>
            <w:vAlign w:val="center"/>
          </w:tcPr>
          <w:p>
            <w:pPr>
              <w:rPr>
                <w:rFonts w:hint="default"/>
                <w:vertAlign w:val="baseline"/>
                <w:lang w:val="en-US" w:eastAsia="zh-CN"/>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省应急管理厅专门网站公开</w:t>
            </w:r>
          </w:p>
        </w:tc>
        <w:tc>
          <w:tcPr>
            <w:tcW w:w="1062" w:type="dxa"/>
            <w:vAlign w:val="center"/>
          </w:tcPr>
          <w:p>
            <w:pPr>
              <w:rPr>
                <w:rFonts w:hint="default"/>
                <w:vertAlign w:val="baseline"/>
                <w:lang w:val="en-US" w:eastAsia="zh-CN"/>
              </w:rPr>
            </w:pPr>
            <w:r>
              <w:rPr>
                <w:rFonts w:hint="eastAsia"/>
                <w:vertAlign w:val="baseline"/>
                <w:lang w:val="en-US" w:eastAsia="zh-CN"/>
              </w:rPr>
              <w:t>立即公开</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718" w:type="dxa"/>
            <w:vAlign w:val="center"/>
          </w:tcPr>
          <w:p>
            <w:pPr>
              <w:rPr>
                <w:rFonts w:hint="default"/>
                <w:vertAlign w:val="baseline"/>
                <w:lang w:val="en-US" w:eastAsia="zh-CN"/>
              </w:rPr>
            </w:pPr>
            <w:r>
              <w:rPr>
                <w:rFonts w:hint="eastAsia"/>
                <w:vertAlign w:val="baseline"/>
                <w:lang w:val="en-US" w:eastAsia="zh-CN"/>
              </w:rPr>
              <w:t>12</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对危险化学品生产经营企业、纳入危险化学品使用安全许可的化工企业安全生产情况的监督检查</w:t>
            </w:r>
          </w:p>
        </w:tc>
        <w:tc>
          <w:tcPr>
            <w:tcW w:w="703" w:type="dxa"/>
            <w:vAlign w:val="center"/>
          </w:tcPr>
          <w:p>
            <w:pPr>
              <w:rPr>
                <w:rFonts w:hint="default"/>
                <w:vertAlign w:val="baseline"/>
                <w:lang w:val="en-US" w:eastAsia="zh-CN"/>
              </w:rPr>
            </w:pPr>
            <w:r>
              <w:rPr>
                <w:rFonts w:hint="eastAsia"/>
                <w:vertAlign w:val="baseline"/>
                <w:lang w:val="en-US" w:eastAsia="zh-CN"/>
              </w:rPr>
              <w:t>行政检查</w:t>
            </w:r>
          </w:p>
        </w:tc>
        <w:tc>
          <w:tcPr>
            <w:tcW w:w="6054" w:type="dxa"/>
            <w:vAlign w:val="center"/>
          </w:tcPr>
          <w:p>
            <w:pPr>
              <w:rPr>
                <w:rFonts w:hint="default"/>
                <w:vertAlign w:val="baseline"/>
                <w:lang w:val="en-US" w:eastAsia="zh-CN"/>
              </w:rPr>
            </w:pPr>
            <w:r>
              <w:rPr>
                <w:rFonts w:hint="eastAsia"/>
                <w:vertAlign w:val="baseline"/>
                <w:lang w:val="en-US" w:eastAsia="zh-CN"/>
              </w:rPr>
              <w:t>《</w:t>
            </w:r>
            <w:r>
              <w:rPr>
                <w:rFonts w:hint="default"/>
                <w:vertAlign w:val="baseline"/>
                <w:lang w:val="en-US" w:eastAsia="zh-CN"/>
              </w:rPr>
              <w:t>危险化学品安全管理条例》</w:t>
            </w:r>
            <w:r>
              <w:rPr>
                <w:rFonts w:hint="eastAsia"/>
                <w:vertAlign w:val="baseline"/>
                <w:lang w:val="en-US" w:eastAsia="zh-CN"/>
              </w:rPr>
              <w:t>（</w:t>
            </w:r>
            <w:r>
              <w:rPr>
                <w:rFonts w:hint="default"/>
                <w:vertAlign w:val="baseline"/>
                <w:lang w:val="en-US" w:eastAsia="zh-CN"/>
              </w:rPr>
              <w:t>2011年国务院令第591号修订，2013年《国务院关于修改部分行政法规的决定》修订</w:t>
            </w:r>
            <w:r>
              <w:rPr>
                <w:rFonts w:hint="eastAsia"/>
                <w:vertAlign w:val="baseline"/>
                <w:lang w:val="en-US" w:eastAsia="zh-CN"/>
              </w:rPr>
              <w:t>)</w:t>
            </w:r>
            <w:r>
              <w:rPr>
                <w:rFonts w:hint="default"/>
                <w:vertAlign w:val="baseline"/>
                <w:lang w:val="en-US" w:eastAsia="zh-CN"/>
              </w:rPr>
              <w:t>第七条</w:t>
            </w:r>
            <w:r>
              <w:rPr>
                <w:rFonts w:hint="eastAsia"/>
                <w:vertAlign w:val="baseline"/>
                <w:lang w:val="en-US" w:eastAsia="zh-CN"/>
              </w:rPr>
              <w:t>,</w:t>
            </w:r>
            <w:r>
              <w:rPr>
                <w:rFonts w:hint="default"/>
                <w:vertAlign w:val="baseline"/>
                <w:lang w:val="en-US" w:eastAsia="zh-CN"/>
              </w:rPr>
              <w:t>负有危险化学品安全监督管理职责的部门依法进行监督检查。</w:t>
            </w:r>
          </w:p>
        </w:tc>
        <w:tc>
          <w:tcPr>
            <w:tcW w:w="904" w:type="dxa"/>
            <w:vAlign w:val="center"/>
          </w:tcPr>
          <w:p>
            <w:pPr>
              <w:rPr>
                <w:rFonts w:hint="default"/>
                <w:vertAlign w:val="baseline"/>
                <w:lang w:val="en-US" w:eastAsia="zh-CN"/>
              </w:rPr>
            </w:pPr>
            <w:r>
              <w:rPr>
                <w:rFonts w:hint="eastAsia"/>
                <w:vertAlign w:val="baseline"/>
                <w:lang w:val="en-US" w:eastAsia="zh-CN"/>
              </w:rPr>
              <w:t>现场检查记录、整改指令书、复查意见书</w:t>
            </w:r>
          </w:p>
        </w:tc>
        <w:tc>
          <w:tcPr>
            <w:tcW w:w="789" w:type="dxa"/>
            <w:vAlign w:val="center"/>
          </w:tcPr>
          <w:p>
            <w:pPr>
              <w:rPr>
                <w:rFonts w:hint="default"/>
                <w:vertAlign w:val="baseline"/>
                <w:lang w:val="en-US" w:eastAsia="zh-CN"/>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省应急管理厅专门网站公开</w:t>
            </w:r>
          </w:p>
        </w:tc>
        <w:tc>
          <w:tcPr>
            <w:tcW w:w="1062" w:type="dxa"/>
            <w:vAlign w:val="center"/>
          </w:tcPr>
          <w:p>
            <w:pPr>
              <w:rPr>
                <w:rFonts w:hint="default"/>
                <w:vertAlign w:val="baseline"/>
                <w:lang w:val="en-US" w:eastAsia="zh-CN"/>
              </w:rPr>
            </w:pPr>
            <w:r>
              <w:rPr>
                <w:rFonts w:hint="eastAsia"/>
                <w:vertAlign w:val="baseline"/>
                <w:lang w:val="en-US" w:eastAsia="zh-CN"/>
              </w:rPr>
              <w:t>立即公开</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718" w:type="dxa"/>
            <w:vAlign w:val="center"/>
          </w:tcPr>
          <w:p>
            <w:pPr>
              <w:rPr>
                <w:rFonts w:hint="default"/>
                <w:vertAlign w:val="baseline"/>
                <w:lang w:val="en-US" w:eastAsia="zh-CN"/>
              </w:rPr>
            </w:pPr>
            <w:r>
              <w:rPr>
                <w:rFonts w:hint="eastAsia"/>
                <w:vertAlign w:val="baseline"/>
                <w:lang w:val="en-US" w:eastAsia="zh-CN"/>
              </w:rPr>
              <w:t>13</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对非药品类易制毒化学品生产、经营的监督检查</w:t>
            </w:r>
          </w:p>
        </w:tc>
        <w:tc>
          <w:tcPr>
            <w:tcW w:w="703" w:type="dxa"/>
            <w:vAlign w:val="center"/>
          </w:tcPr>
          <w:p>
            <w:pPr>
              <w:rPr>
                <w:rFonts w:hint="default"/>
                <w:vertAlign w:val="baseline"/>
                <w:lang w:val="en-US" w:eastAsia="zh-CN"/>
              </w:rPr>
            </w:pPr>
            <w:r>
              <w:rPr>
                <w:rFonts w:hint="eastAsia"/>
                <w:vertAlign w:val="baseline"/>
                <w:lang w:val="en-US" w:eastAsia="zh-CN"/>
              </w:rPr>
              <w:t>行政检查</w:t>
            </w:r>
          </w:p>
        </w:tc>
        <w:tc>
          <w:tcPr>
            <w:tcW w:w="6054" w:type="dxa"/>
            <w:vAlign w:val="center"/>
          </w:tcPr>
          <w:p>
            <w:pPr>
              <w:rPr>
                <w:rFonts w:hint="default"/>
                <w:vertAlign w:val="baseline"/>
                <w:lang w:val="en-US" w:eastAsia="zh-CN"/>
              </w:rPr>
            </w:pPr>
            <w:r>
              <w:rPr>
                <w:rFonts w:hint="default"/>
                <w:vertAlign w:val="baseline"/>
                <w:lang w:val="en-US" w:eastAsia="zh-CN"/>
              </w:rPr>
              <w:t>《非药品类易制毒化学品生产、经营许可办法》</w:t>
            </w:r>
            <w:r>
              <w:rPr>
                <w:rFonts w:hint="eastAsia"/>
                <w:vertAlign w:val="baseline"/>
                <w:lang w:val="en-US" w:eastAsia="zh-CN"/>
              </w:rPr>
              <w:t>(</w:t>
            </w:r>
            <w:r>
              <w:rPr>
                <w:rFonts w:hint="default"/>
                <w:vertAlign w:val="baseline"/>
                <w:lang w:val="en-US" w:eastAsia="zh-CN"/>
              </w:rPr>
              <w:t>国家安全监管总局令第5号，2006年施行</w:t>
            </w:r>
            <w:r>
              <w:rPr>
                <w:rFonts w:hint="eastAsia"/>
                <w:vertAlign w:val="baseline"/>
                <w:lang w:val="en-US" w:eastAsia="zh-CN"/>
              </w:rPr>
              <w:t>)</w:t>
            </w:r>
            <w:r>
              <w:rPr>
                <w:rFonts w:hint="default"/>
                <w:vertAlign w:val="baseline"/>
                <w:lang w:val="en-US" w:eastAsia="zh-CN"/>
              </w:rPr>
              <w:t>第二十五条</w:t>
            </w:r>
            <w:r>
              <w:rPr>
                <w:rFonts w:hint="eastAsia"/>
                <w:vertAlign w:val="baseline"/>
                <w:lang w:val="en-US" w:eastAsia="zh-CN"/>
              </w:rPr>
              <w:t>,县级以上人民政府安全生产监督管理部门应当加强非药品类易制毒化学品生产、经营的监督检查工作。</w:t>
            </w:r>
          </w:p>
        </w:tc>
        <w:tc>
          <w:tcPr>
            <w:tcW w:w="904" w:type="dxa"/>
            <w:vAlign w:val="center"/>
          </w:tcPr>
          <w:p>
            <w:pPr>
              <w:rPr>
                <w:rFonts w:hint="default"/>
                <w:vertAlign w:val="baseline"/>
                <w:lang w:val="en-US" w:eastAsia="zh-CN"/>
              </w:rPr>
            </w:pPr>
            <w:r>
              <w:rPr>
                <w:rFonts w:hint="eastAsia"/>
                <w:vertAlign w:val="baseline"/>
                <w:lang w:val="en-US" w:eastAsia="zh-CN"/>
              </w:rPr>
              <w:t>现场检查记录、整改指令书、复查意见书</w:t>
            </w:r>
          </w:p>
        </w:tc>
        <w:tc>
          <w:tcPr>
            <w:tcW w:w="789" w:type="dxa"/>
            <w:vAlign w:val="center"/>
          </w:tcPr>
          <w:p>
            <w:pPr>
              <w:rPr>
                <w:rFonts w:hint="default"/>
                <w:vertAlign w:val="baseline"/>
                <w:lang w:val="en-US" w:eastAsia="zh-CN"/>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省应急管理厅专门网站公开</w:t>
            </w:r>
          </w:p>
        </w:tc>
        <w:tc>
          <w:tcPr>
            <w:tcW w:w="1062" w:type="dxa"/>
            <w:vAlign w:val="center"/>
          </w:tcPr>
          <w:p>
            <w:pPr>
              <w:rPr>
                <w:rFonts w:hint="default"/>
                <w:vertAlign w:val="baseline"/>
                <w:lang w:val="en-US" w:eastAsia="zh-CN"/>
              </w:rPr>
            </w:pPr>
            <w:r>
              <w:rPr>
                <w:rFonts w:hint="eastAsia"/>
                <w:vertAlign w:val="baseline"/>
                <w:lang w:val="en-US" w:eastAsia="zh-CN"/>
              </w:rPr>
              <w:t>立即公开</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718" w:type="dxa"/>
            <w:vAlign w:val="center"/>
          </w:tcPr>
          <w:p>
            <w:pPr>
              <w:rPr>
                <w:rFonts w:hint="default"/>
                <w:vertAlign w:val="baseline"/>
                <w:lang w:val="en-US" w:eastAsia="zh-CN"/>
              </w:rPr>
            </w:pPr>
            <w:r>
              <w:rPr>
                <w:rFonts w:hint="eastAsia"/>
                <w:vertAlign w:val="baseline"/>
                <w:lang w:val="en-US" w:eastAsia="zh-CN"/>
              </w:rPr>
              <w:t>14</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对非煤矿山、危险化学品生产与储存、冶金等工贸行业生产经营单位提取、使用和管理安全费用情况的监督检查</w:t>
            </w:r>
          </w:p>
        </w:tc>
        <w:tc>
          <w:tcPr>
            <w:tcW w:w="703" w:type="dxa"/>
            <w:vAlign w:val="center"/>
          </w:tcPr>
          <w:p>
            <w:pPr>
              <w:rPr>
                <w:rFonts w:hint="default"/>
                <w:vertAlign w:val="baseline"/>
                <w:lang w:val="en-US" w:eastAsia="zh-CN"/>
              </w:rPr>
            </w:pPr>
            <w:r>
              <w:rPr>
                <w:rFonts w:hint="eastAsia"/>
                <w:vertAlign w:val="baseline"/>
                <w:lang w:val="en-US" w:eastAsia="zh-CN"/>
              </w:rPr>
              <w:t>行政检查</w:t>
            </w:r>
          </w:p>
        </w:tc>
        <w:tc>
          <w:tcPr>
            <w:tcW w:w="6054" w:type="dxa"/>
            <w:vAlign w:val="center"/>
          </w:tcPr>
          <w:p>
            <w:pPr>
              <w:rPr>
                <w:rFonts w:hint="default"/>
                <w:vertAlign w:val="baseline"/>
                <w:lang w:val="en-US" w:eastAsia="zh-CN"/>
              </w:rPr>
            </w:pPr>
            <w:r>
              <w:rPr>
                <w:rFonts w:hint="eastAsia"/>
                <w:vertAlign w:val="baseline"/>
                <w:lang w:val="en-US" w:eastAsia="zh-CN"/>
              </w:rPr>
              <w:t>《企业安全生产费用提取和使用管理办法》(财企〔2012〕16号)第三十五条　各级财政部门、安全生产监督管理部门、煤矿安全监察机构和有关行业主管部门依法对企业安全费用提取、使用和管理进行监督检查。第三十六条　企业未按本办法提取和使用安全费用的，安全生产监督管理部门、煤矿安全监察机构和行业主管部门会同财政部门责令其限期改正，并依照相关法律法规进行处理、处罚。</w:t>
            </w:r>
          </w:p>
        </w:tc>
        <w:tc>
          <w:tcPr>
            <w:tcW w:w="904" w:type="dxa"/>
            <w:vAlign w:val="center"/>
          </w:tcPr>
          <w:p>
            <w:pPr>
              <w:rPr>
                <w:rFonts w:hint="default"/>
                <w:vertAlign w:val="baseline"/>
                <w:lang w:val="en-US" w:eastAsia="zh-CN"/>
              </w:rPr>
            </w:pPr>
            <w:r>
              <w:rPr>
                <w:rFonts w:hint="eastAsia"/>
                <w:vertAlign w:val="baseline"/>
                <w:lang w:val="en-US" w:eastAsia="zh-CN"/>
              </w:rPr>
              <w:t>现场检查记录、整改指令书、复查意见书</w:t>
            </w:r>
          </w:p>
        </w:tc>
        <w:tc>
          <w:tcPr>
            <w:tcW w:w="789" w:type="dxa"/>
            <w:vAlign w:val="center"/>
          </w:tcPr>
          <w:p>
            <w:pPr>
              <w:rPr>
                <w:rFonts w:hint="default"/>
                <w:vertAlign w:val="baseline"/>
                <w:lang w:val="en-US" w:eastAsia="zh-CN"/>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省应急管理厅专门网站公开</w:t>
            </w:r>
          </w:p>
        </w:tc>
        <w:tc>
          <w:tcPr>
            <w:tcW w:w="1062" w:type="dxa"/>
            <w:vAlign w:val="center"/>
          </w:tcPr>
          <w:p>
            <w:pPr>
              <w:rPr>
                <w:rFonts w:hint="default"/>
                <w:vertAlign w:val="baseline"/>
                <w:lang w:val="en-US" w:eastAsia="zh-CN"/>
              </w:rPr>
            </w:pPr>
            <w:r>
              <w:rPr>
                <w:rFonts w:hint="eastAsia"/>
                <w:vertAlign w:val="baseline"/>
                <w:lang w:val="en-US" w:eastAsia="zh-CN"/>
              </w:rPr>
              <w:t>立即公开</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718" w:type="dxa"/>
            <w:vAlign w:val="center"/>
          </w:tcPr>
          <w:p>
            <w:pPr>
              <w:rPr>
                <w:rFonts w:hint="default"/>
                <w:vertAlign w:val="baseline"/>
                <w:lang w:val="en-US" w:eastAsia="zh-CN"/>
              </w:rPr>
            </w:pPr>
            <w:r>
              <w:rPr>
                <w:rFonts w:hint="eastAsia"/>
                <w:vertAlign w:val="baseline"/>
                <w:lang w:val="en-US" w:eastAsia="zh-CN"/>
              </w:rPr>
              <w:t>15</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对生产经营单位应急预案的监督检查</w:t>
            </w:r>
          </w:p>
        </w:tc>
        <w:tc>
          <w:tcPr>
            <w:tcW w:w="703" w:type="dxa"/>
            <w:vAlign w:val="center"/>
          </w:tcPr>
          <w:p>
            <w:pPr>
              <w:rPr>
                <w:rFonts w:hint="default"/>
                <w:vertAlign w:val="baseline"/>
                <w:lang w:val="en-US" w:eastAsia="zh-CN"/>
              </w:rPr>
            </w:pPr>
            <w:r>
              <w:rPr>
                <w:rFonts w:hint="eastAsia"/>
                <w:vertAlign w:val="baseline"/>
                <w:lang w:val="en-US" w:eastAsia="zh-CN"/>
              </w:rPr>
              <w:t>行政检查</w:t>
            </w:r>
          </w:p>
        </w:tc>
        <w:tc>
          <w:tcPr>
            <w:tcW w:w="6054" w:type="dxa"/>
            <w:vAlign w:val="center"/>
          </w:tcPr>
          <w:p>
            <w:pPr>
              <w:rPr>
                <w:rFonts w:hint="eastAsia"/>
                <w:vertAlign w:val="baseline"/>
                <w:lang w:val="en-US" w:eastAsia="zh-CN"/>
              </w:rPr>
            </w:pPr>
            <w:r>
              <w:rPr>
                <w:rFonts w:hint="eastAsia"/>
                <w:vertAlign w:val="baseline"/>
                <w:lang w:val="en-US" w:eastAsia="zh-CN"/>
              </w:rPr>
              <w:t>《生产安全事故应急预案管理办法》(国家安全监管总局令第88号，2016年施行)根据2019年7月11日应急管理部令第2号《应急管理部关于修改&lt;生产安全事故应急预案管理办法&gt;的决定》修正）第四十一条 各级人民政府应急管理部门和煤矿安全监察机构应当将生产经营单位应急预案工作纳入年度监督检查计划，明确检查的重点内容和标准，并严格按照计划开展执法检查。</w:t>
            </w:r>
          </w:p>
        </w:tc>
        <w:tc>
          <w:tcPr>
            <w:tcW w:w="904" w:type="dxa"/>
            <w:vAlign w:val="center"/>
          </w:tcPr>
          <w:p>
            <w:pPr>
              <w:rPr>
                <w:rFonts w:hint="default"/>
                <w:vertAlign w:val="baseline"/>
                <w:lang w:val="en-US" w:eastAsia="zh-CN"/>
              </w:rPr>
            </w:pPr>
            <w:r>
              <w:rPr>
                <w:rFonts w:hint="eastAsia"/>
                <w:vertAlign w:val="baseline"/>
                <w:lang w:val="en-US" w:eastAsia="zh-CN"/>
              </w:rPr>
              <w:t>现场检查记录、整改指令书、复查意见书</w:t>
            </w:r>
          </w:p>
        </w:tc>
        <w:tc>
          <w:tcPr>
            <w:tcW w:w="789" w:type="dxa"/>
            <w:vAlign w:val="center"/>
          </w:tcPr>
          <w:p>
            <w:pPr>
              <w:rPr>
                <w:rFonts w:hint="default"/>
                <w:vertAlign w:val="baseline"/>
                <w:lang w:val="en-US" w:eastAsia="zh-CN"/>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省应急管理厅专门网站公开</w:t>
            </w:r>
          </w:p>
        </w:tc>
        <w:tc>
          <w:tcPr>
            <w:tcW w:w="1062" w:type="dxa"/>
            <w:vAlign w:val="center"/>
          </w:tcPr>
          <w:p>
            <w:pPr>
              <w:rPr>
                <w:rFonts w:hint="default"/>
                <w:vertAlign w:val="baseline"/>
                <w:lang w:val="en-US" w:eastAsia="zh-CN"/>
              </w:rPr>
            </w:pPr>
            <w:r>
              <w:rPr>
                <w:rFonts w:hint="eastAsia"/>
                <w:vertAlign w:val="baseline"/>
                <w:lang w:val="en-US" w:eastAsia="zh-CN"/>
              </w:rPr>
              <w:t>立即公开</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jc w:val="center"/>
        </w:trPr>
        <w:tc>
          <w:tcPr>
            <w:tcW w:w="718" w:type="dxa"/>
            <w:vAlign w:val="center"/>
          </w:tcPr>
          <w:p>
            <w:pPr>
              <w:rPr>
                <w:rFonts w:hint="default"/>
                <w:vertAlign w:val="baseline"/>
                <w:lang w:val="en-US" w:eastAsia="zh-CN"/>
              </w:rPr>
            </w:pPr>
            <w:r>
              <w:rPr>
                <w:rFonts w:hint="eastAsia"/>
                <w:vertAlign w:val="baseline"/>
                <w:lang w:val="en-US" w:eastAsia="zh-CN"/>
              </w:rPr>
              <w:t>16</w:t>
            </w:r>
          </w:p>
        </w:tc>
        <w:tc>
          <w:tcPr>
            <w:tcW w:w="718" w:type="dxa"/>
            <w:vAlign w:val="center"/>
          </w:tcPr>
          <w:p>
            <w:pPr>
              <w:rPr>
                <w:rFonts w:hint="default"/>
                <w:vertAlign w:val="baseline"/>
                <w:lang w:val="en-US" w:eastAsia="zh-CN"/>
              </w:rPr>
            </w:pPr>
            <w:r>
              <w:rPr>
                <w:rFonts w:hint="eastAsia"/>
                <w:vertAlign w:val="baseline"/>
                <w:lang w:val="en-US" w:eastAsia="zh-CN"/>
              </w:rPr>
              <w:t>安全生产</w:t>
            </w:r>
          </w:p>
        </w:tc>
        <w:tc>
          <w:tcPr>
            <w:tcW w:w="1328" w:type="dxa"/>
            <w:vAlign w:val="center"/>
          </w:tcPr>
          <w:p>
            <w:pPr>
              <w:rPr>
                <w:rFonts w:hint="default"/>
                <w:vertAlign w:val="baseline"/>
                <w:lang w:val="en-US" w:eastAsia="zh-CN"/>
              </w:rPr>
            </w:pPr>
            <w:r>
              <w:rPr>
                <w:rFonts w:hint="default"/>
                <w:vertAlign w:val="baseline"/>
                <w:lang w:val="en-US" w:eastAsia="zh-CN"/>
              </w:rPr>
              <w:t>对烟花爆竹生产经营单位的监督检查</w:t>
            </w:r>
          </w:p>
        </w:tc>
        <w:tc>
          <w:tcPr>
            <w:tcW w:w="703" w:type="dxa"/>
            <w:vAlign w:val="center"/>
          </w:tcPr>
          <w:p>
            <w:pPr>
              <w:rPr>
                <w:rFonts w:hint="default"/>
                <w:vertAlign w:val="baseline"/>
                <w:lang w:val="en-US" w:eastAsia="zh-CN"/>
              </w:rPr>
            </w:pPr>
            <w:r>
              <w:rPr>
                <w:rFonts w:hint="eastAsia"/>
                <w:vertAlign w:val="baseline"/>
                <w:lang w:val="en-US" w:eastAsia="zh-CN"/>
              </w:rPr>
              <w:t>行政检查</w:t>
            </w:r>
          </w:p>
        </w:tc>
        <w:tc>
          <w:tcPr>
            <w:tcW w:w="6054" w:type="dxa"/>
            <w:vAlign w:val="center"/>
          </w:tcPr>
          <w:p>
            <w:pPr>
              <w:rPr>
                <w:rFonts w:hint="eastAsia"/>
                <w:vertAlign w:val="baseline"/>
                <w:lang w:val="en-US" w:eastAsia="zh-CN"/>
              </w:rPr>
            </w:pPr>
            <w:r>
              <w:rPr>
                <w:rFonts w:hint="eastAsia"/>
                <w:vertAlign w:val="baseline"/>
                <w:lang w:val="en-US" w:eastAsia="zh-CN"/>
              </w:rPr>
              <w:t>《烟花爆竹生产经营安全规定》（国家安全监管总局令第93号，2018年施行）第二十九条地方各级安全生产监督管理部门应当加强对本行政区域内生产经营单位的监督检查，明确每个生产经营单位的安全生产监督管理主体，制定并落实年度监督检查计划，对生产经营单位的安全生产违法行为，依法实施行政处罚。</w:t>
            </w:r>
          </w:p>
        </w:tc>
        <w:tc>
          <w:tcPr>
            <w:tcW w:w="904" w:type="dxa"/>
            <w:vAlign w:val="center"/>
          </w:tcPr>
          <w:p>
            <w:pPr>
              <w:rPr>
                <w:rFonts w:hint="default"/>
                <w:vertAlign w:val="baseline"/>
                <w:lang w:val="en-US" w:eastAsia="zh-CN"/>
              </w:rPr>
            </w:pPr>
            <w:r>
              <w:rPr>
                <w:rFonts w:hint="eastAsia"/>
                <w:vertAlign w:val="baseline"/>
                <w:lang w:val="en-US" w:eastAsia="zh-CN"/>
              </w:rPr>
              <w:t>现场检查记录、整改指令书、复查意见书</w:t>
            </w:r>
          </w:p>
        </w:tc>
        <w:tc>
          <w:tcPr>
            <w:tcW w:w="789" w:type="dxa"/>
            <w:vAlign w:val="center"/>
          </w:tcPr>
          <w:p>
            <w:pPr>
              <w:rPr>
                <w:rFonts w:hint="default"/>
                <w:vertAlign w:val="baseline"/>
                <w:lang w:val="en-US" w:eastAsia="zh-CN"/>
              </w:rPr>
            </w:pPr>
            <w:r>
              <w:rPr>
                <w:rFonts w:hint="eastAsia"/>
                <w:vertAlign w:val="baseline"/>
                <w:lang w:val="en-US" w:eastAsia="zh-CN"/>
              </w:rPr>
              <w:t>阳江高新区安全监管局</w:t>
            </w:r>
          </w:p>
        </w:tc>
        <w:tc>
          <w:tcPr>
            <w:tcW w:w="1005" w:type="dxa"/>
            <w:vAlign w:val="center"/>
          </w:tcPr>
          <w:p>
            <w:pPr>
              <w:rPr>
                <w:rFonts w:hint="default"/>
                <w:vertAlign w:val="baseline"/>
                <w:lang w:val="en-US" w:eastAsia="zh-CN"/>
              </w:rPr>
            </w:pPr>
            <w:r>
              <w:rPr>
                <w:rFonts w:hint="eastAsia"/>
                <w:vertAlign w:val="baseline"/>
                <w:lang w:val="en-US" w:eastAsia="zh-CN"/>
              </w:rPr>
              <w:t>省应急管理厅专门网站公开</w:t>
            </w:r>
          </w:p>
        </w:tc>
        <w:tc>
          <w:tcPr>
            <w:tcW w:w="1062" w:type="dxa"/>
            <w:vAlign w:val="center"/>
          </w:tcPr>
          <w:p>
            <w:pPr>
              <w:rPr>
                <w:rFonts w:hint="default"/>
                <w:vertAlign w:val="baseline"/>
                <w:lang w:val="en-US" w:eastAsia="zh-CN"/>
              </w:rPr>
            </w:pPr>
            <w:r>
              <w:rPr>
                <w:rFonts w:hint="eastAsia"/>
                <w:vertAlign w:val="baseline"/>
                <w:lang w:val="en-US" w:eastAsia="zh-CN"/>
              </w:rPr>
              <w:t>立即公开</w:t>
            </w:r>
          </w:p>
        </w:tc>
        <w:tc>
          <w:tcPr>
            <w:tcW w:w="887" w:type="dxa"/>
            <w:vAlign w:val="center"/>
          </w:tcPr>
          <w:p>
            <w:pPr>
              <w:rPr>
                <w:rFonts w:hint="default"/>
                <w:vertAlign w:val="baseline"/>
                <w:lang w:val="en-US" w:eastAsia="zh-CN"/>
              </w:rPr>
            </w:pPr>
            <w:r>
              <w:rPr>
                <w:rFonts w:hint="eastAsia"/>
                <w:vertAlign w:val="baseline"/>
                <w:lang w:val="en-US" w:eastAsia="zh-CN"/>
              </w:rPr>
              <w:t>县区</w:t>
            </w:r>
          </w:p>
        </w:tc>
      </w:tr>
    </w:tbl>
    <w:p>
      <w:pPr>
        <w:rPr>
          <w:rFonts w:hint="default"/>
          <w:lang w:val="en-US" w:eastAsia="zh-CN"/>
        </w:rPr>
      </w:pPr>
    </w:p>
    <w:sectPr>
      <w:footerReference r:id="rId3" w:type="default"/>
      <w:pgSz w:w="16838" w:h="11906" w:orient="landscape"/>
      <w:pgMar w:top="1800" w:right="1440" w:bottom="1800"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Helvetica">
    <w:altName w:val="Arial"/>
    <w:panose1 w:val="020B0604020202020204"/>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14DDC"/>
    <w:rsid w:val="0035335F"/>
    <w:rsid w:val="064F6C02"/>
    <w:rsid w:val="09CF1945"/>
    <w:rsid w:val="0A0E4BE9"/>
    <w:rsid w:val="0CAB1422"/>
    <w:rsid w:val="0CD30B02"/>
    <w:rsid w:val="121E0E94"/>
    <w:rsid w:val="12B33314"/>
    <w:rsid w:val="19F603F7"/>
    <w:rsid w:val="1DF00A16"/>
    <w:rsid w:val="208F34C1"/>
    <w:rsid w:val="258A1202"/>
    <w:rsid w:val="26D319BF"/>
    <w:rsid w:val="2B7468A5"/>
    <w:rsid w:val="2EF93871"/>
    <w:rsid w:val="37F9667E"/>
    <w:rsid w:val="39C36F96"/>
    <w:rsid w:val="39F45D19"/>
    <w:rsid w:val="3C993892"/>
    <w:rsid w:val="406F318A"/>
    <w:rsid w:val="415A02D4"/>
    <w:rsid w:val="47C14DDC"/>
    <w:rsid w:val="482E7AC5"/>
    <w:rsid w:val="4A054EF6"/>
    <w:rsid w:val="4A4476C9"/>
    <w:rsid w:val="4AF34624"/>
    <w:rsid w:val="4BC57DA5"/>
    <w:rsid w:val="4FF4398E"/>
    <w:rsid w:val="51D66DAD"/>
    <w:rsid w:val="53745C30"/>
    <w:rsid w:val="538B0815"/>
    <w:rsid w:val="54711D77"/>
    <w:rsid w:val="56A2414A"/>
    <w:rsid w:val="58287813"/>
    <w:rsid w:val="61415DD8"/>
    <w:rsid w:val="62E2045A"/>
    <w:rsid w:val="62EF34A3"/>
    <w:rsid w:val="65434217"/>
    <w:rsid w:val="65C32BF7"/>
    <w:rsid w:val="6B38752A"/>
    <w:rsid w:val="6CED71C9"/>
    <w:rsid w:val="721467FC"/>
    <w:rsid w:val="75992993"/>
    <w:rsid w:val="77D365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2020-10-16T01:50:00Z</dcterms:created>
  <dc:creator>5460</dc:creator>
  <cp:lastModifiedBy>新雄</cp:lastModifiedBy>
  <cp:lastPrinted>2020-10-19T07:14:00Z</cp:lastPrinted>
  <dcterms:modified xsi:type="dcterms:W3CDTF">2020-12-15T03:22:00Z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